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01FC3" w:rsidRPr="00C678F4" w14:paraId="366CACAF" w14:textId="77777777" w:rsidTr="0071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9FE6F8" w14:textId="7BB820E9" w:rsidR="00401FC3" w:rsidRPr="004017CA" w:rsidRDefault="00401FC3" w:rsidP="007170EF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8A58AF" wp14:editId="3A790831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</w:t>
            </w:r>
            <w:r w:rsidR="000173EE">
              <w:rPr>
                <w:szCs w:val="24"/>
              </w:rPr>
              <w:t xml:space="preserve"> Zarządzania Środowiskiem</w:t>
            </w:r>
          </w:p>
        </w:tc>
      </w:tr>
    </w:tbl>
    <w:p w14:paraId="02298155" w14:textId="265FD0EF" w:rsidR="00401FC3" w:rsidRDefault="00401FC3" w:rsidP="00401FC3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0173EE">
        <w:rPr>
          <w:szCs w:val="24"/>
        </w:rPr>
        <w:t>24-07-2024</w:t>
      </w:r>
      <w:r>
        <w:rPr>
          <w:szCs w:val="24"/>
        </w:rPr>
        <w:t xml:space="preserve">  r.</w:t>
      </w:r>
    </w:p>
    <w:p w14:paraId="0D533F7F" w14:textId="77777777" w:rsidR="00401FC3" w:rsidRPr="00D855F8" w:rsidRDefault="00401FC3" w:rsidP="00401FC3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401FC3" w:rsidRPr="000173EE" w14:paraId="2FE9C740" w14:textId="77777777" w:rsidTr="007170EF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B7A5A8" w14:textId="7462A531" w:rsidR="00401FC3" w:rsidRPr="003801E2" w:rsidRDefault="00401FC3" w:rsidP="007170EF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195B098C" w14:textId="77777777" w:rsidR="00401FC3" w:rsidRDefault="00401FC3" w:rsidP="007170EF">
            <w:pPr>
              <w:rPr>
                <w:b/>
                <w:szCs w:val="24"/>
              </w:rPr>
            </w:pPr>
          </w:p>
          <w:p w14:paraId="5489FD26" w14:textId="77777777" w:rsidR="00401FC3" w:rsidRPr="003801E2" w:rsidRDefault="00401FC3" w:rsidP="007170EF">
            <w:pPr>
              <w:rPr>
                <w:b/>
                <w:szCs w:val="24"/>
              </w:rPr>
            </w:pPr>
          </w:p>
          <w:p w14:paraId="4CC18AF9" w14:textId="77777777" w:rsidR="00401FC3" w:rsidRPr="003801E2" w:rsidRDefault="00401FC3" w:rsidP="007170EF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FD4913" w14:textId="056EF1B9" w:rsidR="00401FC3" w:rsidRPr="000173EE" w:rsidRDefault="000173EE" w:rsidP="007170EF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  <w:bookmarkStart w:id="0" w:name="_Hlk172706904"/>
            <w:r w:rsidRPr="00056491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Dostawa </w:t>
            </w:r>
            <w:bookmarkEnd w:id="0"/>
            <w:r w:rsidR="00056491" w:rsidRPr="00056491">
              <w:rPr>
                <w:rFonts w:eastAsiaTheme="minorHAnsi"/>
                <w:i/>
                <w:sz w:val="18"/>
                <w:szCs w:val="18"/>
                <w:lang w:eastAsia="en-US"/>
              </w:rPr>
              <w:t>produktów</w:t>
            </w:r>
            <w:r w:rsidR="00056491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EDB</w:t>
            </w: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E936D9" w14:textId="77777777" w:rsidR="00401FC3" w:rsidRPr="000173EE" w:rsidRDefault="00401FC3" w:rsidP="007170EF">
            <w:pPr>
              <w:rPr>
                <w:szCs w:val="24"/>
                <w:lang w:val="en-US"/>
              </w:rPr>
            </w:pPr>
          </w:p>
        </w:tc>
      </w:tr>
    </w:tbl>
    <w:p w14:paraId="368DA05E" w14:textId="77777777" w:rsidR="00401FC3" w:rsidRPr="000173EE" w:rsidRDefault="00401FC3" w:rsidP="00401FC3">
      <w:pPr>
        <w:spacing w:line="360" w:lineRule="auto"/>
        <w:ind w:right="-2"/>
        <w:rPr>
          <w:b/>
          <w:szCs w:val="24"/>
          <w:lang w:val="en-US"/>
        </w:rPr>
      </w:pPr>
    </w:p>
    <w:p w14:paraId="724DFFE0" w14:textId="77777777" w:rsidR="00401FC3" w:rsidRPr="000173EE" w:rsidRDefault="00401FC3" w:rsidP="00401FC3">
      <w:pPr>
        <w:spacing w:line="276" w:lineRule="auto"/>
        <w:ind w:right="-2"/>
        <w:jc w:val="center"/>
        <w:rPr>
          <w:b/>
          <w:szCs w:val="24"/>
          <w:lang w:val="en-US"/>
        </w:rPr>
      </w:pPr>
    </w:p>
    <w:p w14:paraId="355E2A63" w14:textId="77777777" w:rsidR="00401FC3" w:rsidRPr="00D855F8" w:rsidRDefault="00401FC3" w:rsidP="00401FC3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788CF519" w14:textId="77777777" w:rsidR="00401FC3" w:rsidRDefault="00401FC3" w:rsidP="00401FC3">
      <w:pPr>
        <w:spacing w:line="360" w:lineRule="auto"/>
        <w:ind w:right="-2"/>
        <w:jc w:val="both"/>
        <w:rPr>
          <w:szCs w:val="24"/>
        </w:rPr>
      </w:pPr>
    </w:p>
    <w:p w14:paraId="52A3B7D1" w14:textId="4DAF325E" w:rsidR="00401FC3" w:rsidRPr="002D02C5" w:rsidRDefault="00401FC3" w:rsidP="00401FC3">
      <w:pPr>
        <w:spacing w:line="276" w:lineRule="auto"/>
        <w:jc w:val="both"/>
        <w:rPr>
          <w:b/>
          <w:szCs w:val="24"/>
        </w:rPr>
      </w:pPr>
      <w:bookmarkStart w:id="1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2" w:name="_Hlk66875505"/>
      <w:r w:rsidRPr="00CE06DB">
        <w:rPr>
          <w:b/>
          <w:szCs w:val="24"/>
        </w:rPr>
        <w:t>„</w:t>
      </w:r>
      <w:r w:rsidR="00066498" w:rsidRPr="00066498">
        <w:rPr>
          <w:rFonts w:eastAsiaTheme="minorHAnsi"/>
          <w:i/>
          <w:sz w:val="18"/>
          <w:szCs w:val="18"/>
          <w:lang w:eastAsia="en-US"/>
        </w:rPr>
        <w:t>Dostaw</w:t>
      </w:r>
      <w:r w:rsidR="00066498">
        <w:rPr>
          <w:rFonts w:eastAsiaTheme="minorHAnsi"/>
          <w:i/>
          <w:sz w:val="18"/>
          <w:szCs w:val="18"/>
          <w:lang w:eastAsia="en-US"/>
        </w:rPr>
        <w:t>ę</w:t>
      </w:r>
      <w:r w:rsidR="00066498" w:rsidRPr="00066498">
        <w:rPr>
          <w:rFonts w:eastAsiaTheme="minorHAnsi"/>
          <w:i/>
          <w:sz w:val="18"/>
          <w:szCs w:val="18"/>
          <w:lang w:eastAsia="en-US"/>
        </w:rPr>
        <w:t xml:space="preserve"> </w:t>
      </w:r>
      <w:r w:rsidR="00056491">
        <w:rPr>
          <w:rFonts w:eastAsiaTheme="minorHAnsi"/>
          <w:i/>
          <w:sz w:val="18"/>
          <w:szCs w:val="18"/>
          <w:lang w:eastAsia="en-US"/>
        </w:rPr>
        <w:t>produktów EDB</w:t>
      </w:r>
      <w:r w:rsidRPr="00CE06DB">
        <w:rPr>
          <w:b/>
          <w:szCs w:val="24"/>
        </w:rPr>
        <w:t>”</w:t>
      </w:r>
      <w:bookmarkEnd w:id="1"/>
      <w:bookmarkEnd w:id="2"/>
      <w:r>
        <w:rPr>
          <w:szCs w:val="24"/>
        </w:rPr>
        <w:t>.</w:t>
      </w:r>
    </w:p>
    <w:p w14:paraId="6DCFB0F4" w14:textId="77777777" w:rsidR="00401FC3" w:rsidRPr="00CE06DB" w:rsidRDefault="00401FC3" w:rsidP="00401FC3">
      <w:pPr>
        <w:spacing w:line="276" w:lineRule="auto"/>
        <w:ind w:right="142"/>
        <w:jc w:val="both"/>
        <w:rPr>
          <w:b/>
          <w:szCs w:val="24"/>
        </w:rPr>
      </w:pPr>
    </w:p>
    <w:p w14:paraId="53C46D49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63D82780" w14:textId="77777777" w:rsidR="00AD0A8B" w:rsidRDefault="00AD0A8B" w:rsidP="00AD0A8B">
      <w:pPr>
        <w:pStyle w:val="Nagwek2"/>
      </w:pPr>
      <w:r>
        <w:t>Część 1:</w:t>
      </w:r>
    </w:p>
    <w:p w14:paraId="5EE25159" w14:textId="35E31638" w:rsidR="00056491" w:rsidRPr="00056491" w:rsidRDefault="00056491" w:rsidP="00AD0A8B">
      <w:pPr>
        <w:pStyle w:val="Nagwek2"/>
        <w:numPr>
          <w:ilvl w:val="1"/>
          <w:numId w:val="6"/>
        </w:numPr>
      </w:pPr>
      <w:r w:rsidRPr="00056491">
        <w:t>Wycena na 160 licencji w podstawie,  a także 80 licencji jako opcja</w:t>
      </w:r>
    </w:p>
    <w:p w14:paraId="2B57BF57" w14:textId="77777777" w:rsidR="00056491" w:rsidRPr="00056491" w:rsidRDefault="00056491" w:rsidP="00AD0A8B">
      <w:pPr>
        <w:pStyle w:val="Nagwek2"/>
        <w:numPr>
          <w:ilvl w:val="1"/>
          <w:numId w:val="6"/>
        </w:numPr>
      </w:pPr>
      <w:r w:rsidRPr="00056491">
        <w:t>usługi eksperckie do 100 godzin /rok płatne z dołu</w:t>
      </w:r>
    </w:p>
    <w:p w14:paraId="605437AF" w14:textId="691795A0" w:rsidR="00056491" w:rsidRDefault="00056491" w:rsidP="00AD0A8B">
      <w:pPr>
        <w:pStyle w:val="Nagwek2"/>
        <w:numPr>
          <w:ilvl w:val="1"/>
          <w:numId w:val="6"/>
        </w:numPr>
      </w:pPr>
      <w:r w:rsidRPr="00056491">
        <w:t>Na okres 1 roku oraz 3 lat dla wersji Standard oraz Enterprise.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52F2" w14:paraId="00EA9CA6" w14:textId="77777777" w:rsidTr="00A652F2">
        <w:tc>
          <w:tcPr>
            <w:tcW w:w="2265" w:type="dxa"/>
          </w:tcPr>
          <w:p w14:paraId="49F8CBC6" w14:textId="360358E6" w:rsidR="00A652F2" w:rsidRDefault="00A652F2" w:rsidP="00A652F2">
            <w:r>
              <w:t>Wariant 1</w:t>
            </w:r>
          </w:p>
        </w:tc>
        <w:tc>
          <w:tcPr>
            <w:tcW w:w="2265" w:type="dxa"/>
          </w:tcPr>
          <w:p w14:paraId="68AE3F4C" w14:textId="3FE899CA" w:rsidR="00A652F2" w:rsidRDefault="00A652F2" w:rsidP="00A652F2">
            <w:r>
              <w:t xml:space="preserve">Wariant </w:t>
            </w:r>
            <w:r>
              <w:t>2</w:t>
            </w:r>
          </w:p>
        </w:tc>
        <w:tc>
          <w:tcPr>
            <w:tcW w:w="2266" w:type="dxa"/>
          </w:tcPr>
          <w:p w14:paraId="7FBF34AD" w14:textId="6C22D512" w:rsidR="00A652F2" w:rsidRDefault="00A652F2" w:rsidP="00A652F2">
            <w:r>
              <w:t xml:space="preserve">Wariant </w:t>
            </w:r>
            <w:r>
              <w:t>3</w:t>
            </w:r>
          </w:p>
        </w:tc>
        <w:tc>
          <w:tcPr>
            <w:tcW w:w="2266" w:type="dxa"/>
          </w:tcPr>
          <w:p w14:paraId="6554CA87" w14:textId="49262858" w:rsidR="00A652F2" w:rsidRDefault="00A652F2" w:rsidP="00A652F2">
            <w:r>
              <w:t xml:space="preserve">Wariant </w:t>
            </w:r>
            <w:r>
              <w:t>4</w:t>
            </w:r>
          </w:p>
        </w:tc>
      </w:tr>
      <w:tr w:rsidR="00A652F2" w14:paraId="06BEFE5A" w14:textId="77777777" w:rsidTr="00A652F2">
        <w:tc>
          <w:tcPr>
            <w:tcW w:w="2265" w:type="dxa"/>
          </w:tcPr>
          <w:p w14:paraId="43884C98" w14:textId="679B92C2" w:rsidR="00A652F2" w:rsidRDefault="00A652F2" w:rsidP="00A652F2">
            <w:r>
              <w:t>Podstawa 160 Standard na rok</w:t>
            </w:r>
          </w:p>
        </w:tc>
        <w:tc>
          <w:tcPr>
            <w:tcW w:w="2265" w:type="dxa"/>
          </w:tcPr>
          <w:p w14:paraId="5EEF3737" w14:textId="320F2642" w:rsidR="00A652F2" w:rsidRDefault="00A652F2" w:rsidP="00A652F2">
            <w:r>
              <w:t>Podstawa 160 Standard na 3 lata</w:t>
            </w:r>
          </w:p>
        </w:tc>
        <w:tc>
          <w:tcPr>
            <w:tcW w:w="2266" w:type="dxa"/>
          </w:tcPr>
          <w:p w14:paraId="1A260FAD" w14:textId="56F4C102" w:rsidR="00A652F2" w:rsidRDefault="00A652F2" w:rsidP="00A652F2">
            <w:r>
              <w:t>Podstawa 160 Enterprise na rok</w:t>
            </w:r>
          </w:p>
        </w:tc>
        <w:tc>
          <w:tcPr>
            <w:tcW w:w="2266" w:type="dxa"/>
          </w:tcPr>
          <w:p w14:paraId="41341965" w14:textId="79227EAD" w:rsidR="00A652F2" w:rsidRDefault="00A652F2" w:rsidP="00A652F2">
            <w:r>
              <w:t>Podstawa 160 Enterprise na 3 lata</w:t>
            </w:r>
          </w:p>
        </w:tc>
      </w:tr>
      <w:tr w:rsidR="00A652F2" w14:paraId="794C27DC" w14:textId="77777777" w:rsidTr="00A652F2">
        <w:tc>
          <w:tcPr>
            <w:tcW w:w="2265" w:type="dxa"/>
          </w:tcPr>
          <w:p w14:paraId="6830812F" w14:textId="7B5622A5" w:rsidR="00A652F2" w:rsidRDefault="00A652F2" w:rsidP="00A652F2">
            <w:r>
              <w:t xml:space="preserve">Opcja 80 Standard na rok </w:t>
            </w:r>
          </w:p>
        </w:tc>
        <w:tc>
          <w:tcPr>
            <w:tcW w:w="2265" w:type="dxa"/>
          </w:tcPr>
          <w:p w14:paraId="27D8D4A6" w14:textId="31311408" w:rsidR="00A652F2" w:rsidRDefault="00A652F2" w:rsidP="00A652F2">
            <w:r>
              <w:t>Opcja 80 Standard na 3 lata</w:t>
            </w:r>
          </w:p>
        </w:tc>
        <w:tc>
          <w:tcPr>
            <w:tcW w:w="2266" w:type="dxa"/>
          </w:tcPr>
          <w:p w14:paraId="44629F59" w14:textId="193764F3" w:rsidR="00A652F2" w:rsidRDefault="00A652F2" w:rsidP="00A652F2">
            <w:r>
              <w:t>Opcja 80 Enterprise na rok</w:t>
            </w:r>
          </w:p>
        </w:tc>
        <w:tc>
          <w:tcPr>
            <w:tcW w:w="2266" w:type="dxa"/>
          </w:tcPr>
          <w:p w14:paraId="1687F845" w14:textId="25754E8B" w:rsidR="00A652F2" w:rsidRDefault="00A652F2" w:rsidP="00A652F2">
            <w:r>
              <w:t>Opcja 80 Enterprise na 3 lata</w:t>
            </w:r>
          </w:p>
        </w:tc>
      </w:tr>
      <w:tr w:rsidR="00A652F2" w14:paraId="5D9F4C23" w14:textId="77777777" w:rsidTr="00E644AB">
        <w:tc>
          <w:tcPr>
            <w:tcW w:w="9062" w:type="dxa"/>
            <w:gridSpan w:val="4"/>
          </w:tcPr>
          <w:p w14:paraId="2D277424" w14:textId="6A2CB4CF" w:rsidR="00A652F2" w:rsidRDefault="00A652F2" w:rsidP="00A652F2">
            <w:pPr>
              <w:jc w:val="center"/>
            </w:pPr>
            <w:r w:rsidRPr="00A652F2">
              <w:t>usługi eksperckie do 100 godzin /rok płatne z dołu</w:t>
            </w:r>
          </w:p>
        </w:tc>
      </w:tr>
    </w:tbl>
    <w:p w14:paraId="48D407C5" w14:textId="77777777" w:rsidR="00A652F2" w:rsidRPr="00A652F2" w:rsidRDefault="00A652F2" w:rsidP="00A652F2"/>
    <w:p w14:paraId="6E104E57" w14:textId="77777777" w:rsidR="00AD0A8B" w:rsidRDefault="00AD0A8B" w:rsidP="00AD0A8B">
      <w:pPr>
        <w:pStyle w:val="Nagwek2"/>
      </w:pPr>
      <w:r>
        <w:t>Cześć 2:</w:t>
      </w:r>
    </w:p>
    <w:p w14:paraId="4AF3F413" w14:textId="54D0EC91" w:rsidR="00056491" w:rsidRPr="00056491" w:rsidRDefault="00056491" w:rsidP="00AD0A8B">
      <w:pPr>
        <w:pStyle w:val="Nagwek2"/>
        <w:numPr>
          <w:ilvl w:val="1"/>
          <w:numId w:val="6"/>
        </w:numPr>
      </w:pPr>
      <w:r w:rsidRPr="00056491">
        <w:t>Liczba licencji 288 licencji w podstawie a także 288 jako opcja</w:t>
      </w:r>
    </w:p>
    <w:p w14:paraId="0BE76821" w14:textId="77777777" w:rsidR="00056491" w:rsidRPr="00056491" w:rsidRDefault="00056491" w:rsidP="00AD0A8B">
      <w:pPr>
        <w:pStyle w:val="Nagwek2"/>
        <w:numPr>
          <w:ilvl w:val="1"/>
          <w:numId w:val="6"/>
        </w:numPr>
      </w:pPr>
      <w:r w:rsidRPr="00056491">
        <w:t>usługi eksperckie do 100 godzin /rok płatne z dołu</w:t>
      </w:r>
    </w:p>
    <w:p w14:paraId="19A0F8C0" w14:textId="2052DEB9" w:rsidR="00401FC3" w:rsidRDefault="00056491" w:rsidP="00AD0A8B">
      <w:pPr>
        <w:pStyle w:val="Nagwek2"/>
        <w:numPr>
          <w:ilvl w:val="1"/>
          <w:numId w:val="6"/>
        </w:numPr>
      </w:pPr>
      <w:r w:rsidRPr="00056491">
        <w:t>Wersja Enterprise na okres 1 lub 3 lata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</w:tblGrid>
      <w:tr w:rsidR="00A652F2" w14:paraId="395B16A4" w14:textId="77777777" w:rsidTr="00A652F2">
        <w:trPr>
          <w:jc w:val="center"/>
        </w:trPr>
        <w:tc>
          <w:tcPr>
            <w:tcW w:w="2265" w:type="dxa"/>
          </w:tcPr>
          <w:p w14:paraId="7BB8CE78" w14:textId="77777777" w:rsidR="00A652F2" w:rsidRDefault="00A652F2" w:rsidP="009A160B">
            <w:r>
              <w:t>Wariant 1</w:t>
            </w:r>
          </w:p>
        </w:tc>
        <w:tc>
          <w:tcPr>
            <w:tcW w:w="2265" w:type="dxa"/>
          </w:tcPr>
          <w:p w14:paraId="7BD5CEF2" w14:textId="77777777" w:rsidR="00A652F2" w:rsidRDefault="00A652F2" w:rsidP="009A160B">
            <w:r>
              <w:t>Wariant 2</w:t>
            </w:r>
          </w:p>
        </w:tc>
      </w:tr>
      <w:tr w:rsidR="00A652F2" w14:paraId="615AFA43" w14:textId="77777777" w:rsidTr="00A652F2">
        <w:trPr>
          <w:jc w:val="center"/>
        </w:trPr>
        <w:tc>
          <w:tcPr>
            <w:tcW w:w="2265" w:type="dxa"/>
          </w:tcPr>
          <w:p w14:paraId="76806C50" w14:textId="2C53B84D" w:rsidR="00A652F2" w:rsidRDefault="00A652F2" w:rsidP="009A160B">
            <w:r>
              <w:t xml:space="preserve">Podstawa </w:t>
            </w:r>
            <w:r>
              <w:t>288</w:t>
            </w:r>
            <w:r>
              <w:t xml:space="preserve"> Enterprise na rok</w:t>
            </w:r>
          </w:p>
        </w:tc>
        <w:tc>
          <w:tcPr>
            <w:tcW w:w="2265" w:type="dxa"/>
          </w:tcPr>
          <w:p w14:paraId="37C837FE" w14:textId="52BF3704" w:rsidR="00A652F2" w:rsidRDefault="00A652F2" w:rsidP="009A160B">
            <w:r>
              <w:t xml:space="preserve">Podstawa </w:t>
            </w:r>
            <w:r>
              <w:t>288</w:t>
            </w:r>
            <w:r>
              <w:t xml:space="preserve"> Enterprise na 3 lata</w:t>
            </w:r>
          </w:p>
        </w:tc>
      </w:tr>
      <w:tr w:rsidR="00A652F2" w14:paraId="7E29893B" w14:textId="77777777" w:rsidTr="00A652F2">
        <w:trPr>
          <w:jc w:val="center"/>
        </w:trPr>
        <w:tc>
          <w:tcPr>
            <w:tcW w:w="2265" w:type="dxa"/>
          </w:tcPr>
          <w:p w14:paraId="7A3FBE58" w14:textId="76504C1A" w:rsidR="00A652F2" w:rsidRDefault="00A652F2" w:rsidP="009A160B">
            <w:r>
              <w:t xml:space="preserve">Opcja </w:t>
            </w:r>
            <w:r>
              <w:t>288</w:t>
            </w:r>
            <w:r>
              <w:t xml:space="preserve"> Enterprise na rok </w:t>
            </w:r>
          </w:p>
        </w:tc>
        <w:tc>
          <w:tcPr>
            <w:tcW w:w="2265" w:type="dxa"/>
          </w:tcPr>
          <w:p w14:paraId="7A762648" w14:textId="1A3D36B9" w:rsidR="00A652F2" w:rsidRDefault="00A652F2" w:rsidP="009A160B">
            <w:r>
              <w:t xml:space="preserve">Opcja </w:t>
            </w:r>
            <w:r>
              <w:t>288</w:t>
            </w:r>
            <w:r>
              <w:t xml:space="preserve"> Enterprise na 3 lata</w:t>
            </w:r>
          </w:p>
        </w:tc>
      </w:tr>
      <w:tr w:rsidR="00A652F2" w14:paraId="18C23487" w14:textId="77777777" w:rsidTr="00A652F2">
        <w:trPr>
          <w:jc w:val="center"/>
        </w:trPr>
        <w:tc>
          <w:tcPr>
            <w:tcW w:w="4530" w:type="dxa"/>
            <w:gridSpan w:val="2"/>
          </w:tcPr>
          <w:p w14:paraId="01183552" w14:textId="13D36E0A" w:rsidR="00A652F2" w:rsidRDefault="00A652F2" w:rsidP="00A652F2">
            <w:pPr>
              <w:jc w:val="center"/>
            </w:pPr>
            <w:r w:rsidRPr="00A652F2">
              <w:t>usługi eksperckie do 100 godzin /rok płatne z dołu</w:t>
            </w:r>
          </w:p>
        </w:tc>
      </w:tr>
    </w:tbl>
    <w:p w14:paraId="263729D6" w14:textId="77777777" w:rsidR="00A652F2" w:rsidRPr="00A652F2" w:rsidRDefault="00A652F2" w:rsidP="00A652F2"/>
    <w:p w14:paraId="4F738EAD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1F357424" w14:textId="74D3ACF5" w:rsidR="00401FC3" w:rsidRPr="00AD0A8B" w:rsidRDefault="00401FC3" w:rsidP="00AD0A8B">
      <w:pPr>
        <w:pStyle w:val="Nagwek2"/>
        <w:numPr>
          <w:ilvl w:val="0"/>
          <w:numId w:val="11"/>
        </w:numPr>
      </w:pPr>
      <w:bookmarkStart w:id="3" w:name="_Hlk74827732"/>
      <w:bookmarkStart w:id="4" w:name="_Hlk74827684"/>
      <w:r w:rsidRPr="00AD0A8B">
        <w:t xml:space="preserve">Wykonawca zobowiązuje się do realizacji przedmiotu zamówienia w terminie do </w:t>
      </w:r>
      <w:r w:rsidR="00066498" w:rsidRPr="00AD0A8B">
        <w:t>30-11-2024</w:t>
      </w:r>
    </w:p>
    <w:bookmarkEnd w:id="3"/>
    <w:bookmarkEnd w:id="4"/>
    <w:p w14:paraId="278FBAD7" w14:textId="77777777" w:rsidR="00401FC3" w:rsidRPr="00CE06DB" w:rsidRDefault="00401FC3" w:rsidP="00401FC3">
      <w:pPr>
        <w:pStyle w:val="Akapitzlist"/>
        <w:ind w:left="567"/>
        <w:jc w:val="both"/>
        <w:rPr>
          <w:szCs w:val="24"/>
        </w:rPr>
      </w:pPr>
    </w:p>
    <w:p w14:paraId="4FFF9A81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5" w:name="_Hlk74828519"/>
      <w:bookmarkStart w:id="6" w:name="_Hlk74828079"/>
      <w:r w:rsidRPr="00CE06DB">
        <w:rPr>
          <w:b/>
          <w:szCs w:val="24"/>
        </w:rPr>
        <w:lastRenderedPageBreak/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1BD71CE2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267BD1A9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772705C6" w14:textId="0FCFEDA7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 w:rsidR="00066498">
        <w:rPr>
          <w:b/>
          <w:szCs w:val="24"/>
        </w:rPr>
        <w:t>2</w:t>
      </w:r>
      <w:r w:rsidR="00D52B99">
        <w:rPr>
          <w:b/>
          <w:szCs w:val="24"/>
        </w:rPr>
        <w:t>7</w:t>
      </w:r>
      <w:r w:rsidR="00066498">
        <w:rPr>
          <w:b/>
          <w:szCs w:val="24"/>
        </w:rPr>
        <w:t>-0</w:t>
      </w:r>
      <w:r w:rsidR="00D52B99">
        <w:rPr>
          <w:b/>
          <w:szCs w:val="24"/>
        </w:rPr>
        <w:t>9</w:t>
      </w:r>
      <w:r w:rsidR="00066498">
        <w:rPr>
          <w:b/>
          <w:szCs w:val="24"/>
        </w:rPr>
        <w:t>-2024 do godziny 12:00</w:t>
      </w:r>
      <w:r>
        <w:rPr>
          <w:b/>
          <w:szCs w:val="24"/>
        </w:rPr>
        <w:t xml:space="preserve">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hyperlink r:id="rId8" w:history="1">
        <w:r w:rsidR="00066498" w:rsidRPr="008F2F77">
          <w:rPr>
            <w:rStyle w:val="Hipercze"/>
            <w:szCs w:val="24"/>
          </w:rPr>
          <w:t>zakup.sprzetu@mf.gov.pl</w:t>
        </w:r>
      </w:hyperlink>
      <w:r w:rsidR="00066498">
        <w:rPr>
          <w:szCs w:val="24"/>
        </w:rPr>
        <w:t xml:space="preserve"> </w:t>
      </w:r>
    </w:p>
    <w:p w14:paraId="2F1584C7" w14:textId="77777777" w:rsidR="00401FC3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79385E8" w14:textId="77777777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2184F74A" w14:textId="77777777" w:rsidR="00401FC3" w:rsidRPr="00D855F8" w:rsidRDefault="00401FC3" w:rsidP="00401FC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050F9BD7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42DA454C" w14:textId="77777777" w:rsidR="00401FC3" w:rsidRPr="009330EE" w:rsidRDefault="00401FC3" w:rsidP="00401FC3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4AA1454F" w14:textId="77777777" w:rsidR="00401FC3" w:rsidRPr="009330EE" w:rsidRDefault="00401FC3" w:rsidP="00401FC3">
      <w:pPr>
        <w:ind w:left="357"/>
        <w:jc w:val="both"/>
        <w:rPr>
          <w:szCs w:val="24"/>
        </w:rPr>
      </w:pPr>
      <w:bookmarkStart w:id="7" w:name="_Hlk74830017"/>
      <w:bookmarkEnd w:id="5"/>
      <w:bookmarkEnd w:id="6"/>
      <w:r w:rsidRPr="009330EE">
        <w:rPr>
          <w:b/>
          <w:bCs/>
          <w:szCs w:val="24"/>
        </w:rPr>
        <w:br w:type="page"/>
      </w:r>
    </w:p>
    <w:p w14:paraId="27ECB33B" w14:textId="77777777" w:rsidR="00401FC3" w:rsidRPr="001647B8" w:rsidRDefault="00401FC3" w:rsidP="00401FC3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EA49582" w14:textId="77777777" w:rsidR="00401FC3" w:rsidRPr="001647B8" w:rsidRDefault="00401FC3" w:rsidP="00401FC3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B08631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BCEFC9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6EBC26E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432C8E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>. Dz. U. z 2023 r. poz. 1605ze zm.), dalej „ustawa Pzp"; </w:t>
      </w:r>
    </w:p>
    <w:p w14:paraId="1F68B14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0E667F4A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0D2DE2B9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345F8676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4FB619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1802419B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299BA469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2FF2676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2173604D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62421EDF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1DA733FF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32826F17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50EC9AB3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401FC3" w:rsidRPr="001647B8" w:rsidSect="00D66A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7"/>
    </w:p>
    <w:p w14:paraId="1FF79A99" w14:textId="77777777" w:rsidR="00401FC3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8F2A3B0" w14:textId="77777777" w:rsidR="00401FC3" w:rsidRPr="00C7153B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0F7E9B6A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</w:p>
    <w:p w14:paraId="071CEA62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B585FE7" w14:textId="77777777" w:rsidR="00401FC3" w:rsidRPr="0084184B" w:rsidRDefault="00401FC3" w:rsidP="00401FC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401FC3" w:rsidRPr="0084184B" w14:paraId="29CC16DF" w14:textId="77777777" w:rsidTr="007170EF">
        <w:tc>
          <w:tcPr>
            <w:tcW w:w="3261" w:type="dxa"/>
            <w:vAlign w:val="center"/>
          </w:tcPr>
          <w:p w14:paraId="08642AD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05CD233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70233E9" w14:textId="77777777" w:rsidTr="007170EF">
        <w:tc>
          <w:tcPr>
            <w:tcW w:w="3261" w:type="dxa"/>
            <w:vAlign w:val="center"/>
          </w:tcPr>
          <w:p w14:paraId="15963D75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3FC0802E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FF91F90" w14:textId="77777777" w:rsidTr="007170EF">
        <w:tc>
          <w:tcPr>
            <w:tcW w:w="3261" w:type="dxa"/>
            <w:vAlign w:val="center"/>
          </w:tcPr>
          <w:p w14:paraId="0A8E4B4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FEA061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39C1E16" w14:textId="77777777" w:rsidTr="007170EF">
        <w:tc>
          <w:tcPr>
            <w:tcW w:w="3261" w:type="dxa"/>
            <w:vAlign w:val="center"/>
          </w:tcPr>
          <w:p w14:paraId="333CA46A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87C4CD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A3E2C05" w14:textId="77777777" w:rsidTr="007170EF">
        <w:tc>
          <w:tcPr>
            <w:tcW w:w="3261" w:type="dxa"/>
            <w:vAlign w:val="center"/>
          </w:tcPr>
          <w:p w14:paraId="673AE6E4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9B89BCF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7E8D7C51" w14:textId="77777777" w:rsidTr="007170EF">
        <w:tc>
          <w:tcPr>
            <w:tcW w:w="3261" w:type="dxa"/>
            <w:vAlign w:val="center"/>
          </w:tcPr>
          <w:p w14:paraId="5E2B6AC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CE9A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294F630E" w14:textId="77777777" w:rsidTr="007170EF">
        <w:tc>
          <w:tcPr>
            <w:tcW w:w="3261" w:type="dxa"/>
            <w:vAlign w:val="center"/>
          </w:tcPr>
          <w:p w14:paraId="14E733E7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04BEDDCB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D902EB9" w14:textId="77777777" w:rsidTr="007170EF">
        <w:trPr>
          <w:trHeight w:val="228"/>
        </w:trPr>
        <w:tc>
          <w:tcPr>
            <w:tcW w:w="3261" w:type="dxa"/>
            <w:vAlign w:val="center"/>
          </w:tcPr>
          <w:p w14:paraId="6597CD4D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BABEC2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7F5D47C5" w14:textId="77777777" w:rsidR="00401FC3" w:rsidRPr="0084184B" w:rsidRDefault="00401FC3" w:rsidP="00401FC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3897453B" w14:textId="77777777" w:rsidR="00401FC3" w:rsidRPr="007D7CD1" w:rsidRDefault="00401FC3" w:rsidP="00401FC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40E69542" w14:textId="77777777" w:rsidR="00401FC3" w:rsidRPr="0084184B" w:rsidRDefault="00401FC3" w:rsidP="00401F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5104"/>
        <w:gridCol w:w="1842"/>
        <w:gridCol w:w="2263"/>
      </w:tblGrid>
      <w:tr w:rsidR="00AD0A8B" w14:paraId="44C4FF29" w14:textId="77777777" w:rsidTr="00D9460A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14:paraId="68F8E21C" w14:textId="77777777" w:rsidR="00AD0A8B" w:rsidRPr="001F6611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1842" w:type="dxa"/>
            <w:shd w:val="clear" w:color="auto" w:fill="E7E6E6" w:themeFill="background2"/>
          </w:tcPr>
          <w:p w14:paraId="402C54EA" w14:textId="0AD6D374" w:rsidR="00AD0A8B" w:rsidRPr="001F6611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Cena jednostkowa brutto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2F0743E9" w14:textId="4AE14BF8" w:rsidR="00AD0A8B" w:rsidRPr="001F6611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AD0A8B" w:rsidRPr="000B32F2" w14:paraId="44053860" w14:textId="77777777" w:rsidTr="00D9460A">
        <w:tc>
          <w:tcPr>
            <w:tcW w:w="5104" w:type="dxa"/>
          </w:tcPr>
          <w:p w14:paraId="547DA69A" w14:textId="5125F1DD" w:rsidR="00AD0A8B" w:rsidRPr="000B32F2" w:rsidRDefault="00D9460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bookmarkStart w:id="8" w:name="_Hlk178054062"/>
            <w:r>
              <w:rPr>
                <w:szCs w:val="24"/>
              </w:rPr>
              <w:t xml:space="preserve">Część 1: </w:t>
            </w:r>
            <w:r w:rsidR="00AD0A8B" w:rsidRPr="00D4198B">
              <w:rPr>
                <w:szCs w:val="24"/>
              </w:rPr>
              <w:t>Standard</w:t>
            </w:r>
            <w:r w:rsidR="00AD0A8B">
              <w:rPr>
                <w:szCs w:val="24"/>
              </w:rPr>
              <w:t xml:space="preserve"> – 160 szt na rok</w:t>
            </w:r>
            <w:r w:rsidR="00F54A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podstawa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1</w:t>
            </w:r>
          </w:p>
        </w:tc>
        <w:tc>
          <w:tcPr>
            <w:tcW w:w="1842" w:type="dxa"/>
          </w:tcPr>
          <w:p w14:paraId="6353D349" w14:textId="77777777" w:rsidR="00AD0A8B" w:rsidRPr="000B32F2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736D528F" w14:textId="7FC27D74" w:rsidR="00AD0A8B" w:rsidRPr="000B32F2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0B32F2" w14:paraId="44D13A28" w14:textId="77777777" w:rsidTr="00D9460A">
        <w:tc>
          <w:tcPr>
            <w:tcW w:w="5104" w:type="dxa"/>
          </w:tcPr>
          <w:p w14:paraId="24096B26" w14:textId="59C14677" w:rsidR="00AD0A8B" w:rsidRPr="00D4198B" w:rsidRDefault="00D9460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="00AD0A8B" w:rsidRPr="00D4198B">
              <w:rPr>
                <w:szCs w:val="24"/>
              </w:rPr>
              <w:t>Standard</w:t>
            </w:r>
            <w:r w:rsidR="00AD0A8B">
              <w:rPr>
                <w:szCs w:val="24"/>
              </w:rPr>
              <w:t xml:space="preserve"> – 160 szt na 3 lata</w:t>
            </w:r>
            <w:r>
              <w:rPr>
                <w:szCs w:val="24"/>
              </w:rPr>
              <w:t xml:space="preserve"> - podstawa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2</w:t>
            </w:r>
          </w:p>
        </w:tc>
        <w:tc>
          <w:tcPr>
            <w:tcW w:w="1842" w:type="dxa"/>
          </w:tcPr>
          <w:p w14:paraId="4791E540" w14:textId="77777777" w:rsidR="00AD0A8B" w:rsidRPr="000B32F2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18606361" w14:textId="21DD7302" w:rsidR="00AD0A8B" w:rsidRPr="000B32F2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D9460A" w14:paraId="23D65F55" w14:textId="77777777" w:rsidTr="00D9460A">
        <w:tc>
          <w:tcPr>
            <w:tcW w:w="5104" w:type="dxa"/>
          </w:tcPr>
          <w:p w14:paraId="0F5F3555" w14:textId="660D53AD" w:rsidR="00AD0A8B" w:rsidRPr="00D4198B" w:rsidRDefault="00D9460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="00AD0A8B" w:rsidRPr="00D4198B">
              <w:rPr>
                <w:szCs w:val="24"/>
              </w:rPr>
              <w:t>Standard</w:t>
            </w:r>
            <w:r w:rsidR="00AD0A8B">
              <w:rPr>
                <w:szCs w:val="24"/>
              </w:rPr>
              <w:t xml:space="preserve"> – 80 szt na rok </w:t>
            </w:r>
            <w:r>
              <w:rPr>
                <w:szCs w:val="24"/>
              </w:rPr>
              <w:t xml:space="preserve">- opcja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1</w:t>
            </w:r>
          </w:p>
        </w:tc>
        <w:tc>
          <w:tcPr>
            <w:tcW w:w="1842" w:type="dxa"/>
          </w:tcPr>
          <w:p w14:paraId="077336DD" w14:textId="77777777" w:rsidR="00AD0A8B" w:rsidRPr="00D9460A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528DC549" w14:textId="431493B4" w:rsidR="00AD0A8B" w:rsidRPr="00D9460A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D9460A" w14:paraId="24BFB374" w14:textId="77777777" w:rsidTr="00D9460A">
        <w:tc>
          <w:tcPr>
            <w:tcW w:w="5104" w:type="dxa"/>
          </w:tcPr>
          <w:p w14:paraId="6E22279C" w14:textId="1F6F32D1" w:rsidR="00AD0A8B" w:rsidRPr="00D4198B" w:rsidRDefault="00D9460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="00AD0A8B" w:rsidRPr="00D4198B">
              <w:rPr>
                <w:szCs w:val="24"/>
              </w:rPr>
              <w:t>Standard</w:t>
            </w:r>
            <w:r w:rsidR="00AD0A8B">
              <w:rPr>
                <w:szCs w:val="24"/>
              </w:rPr>
              <w:t xml:space="preserve"> – 80 szt na 3 lata</w:t>
            </w:r>
            <w:r>
              <w:rPr>
                <w:szCs w:val="24"/>
              </w:rPr>
              <w:t xml:space="preserve"> - opcja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2</w:t>
            </w:r>
          </w:p>
        </w:tc>
        <w:tc>
          <w:tcPr>
            <w:tcW w:w="1842" w:type="dxa"/>
          </w:tcPr>
          <w:p w14:paraId="77EF371D" w14:textId="77777777" w:rsidR="00AD0A8B" w:rsidRPr="00D9460A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2F5681D6" w14:textId="6A0C60EC" w:rsidR="00AD0A8B" w:rsidRPr="00D9460A" w:rsidRDefault="00AD0A8B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bookmarkEnd w:id="8"/>
      <w:tr w:rsidR="00AD0A8B" w:rsidRPr="000B32F2" w14:paraId="2BA2CE4F" w14:textId="77777777" w:rsidTr="00D9460A">
        <w:tc>
          <w:tcPr>
            <w:tcW w:w="5104" w:type="dxa"/>
          </w:tcPr>
          <w:p w14:paraId="76086E26" w14:textId="4E1C46B2" w:rsidR="00AD0A8B" w:rsidRPr="000B32F2" w:rsidRDefault="00D9460A" w:rsidP="0005649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>
              <w:rPr>
                <w:szCs w:val="24"/>
              </w:rPr>
              <w:t xml:space="preserve">Część 1: </w:t>
            </w:r>
            <w:r w:rsidR="00AD0A8B">
              <w:rPr>
                <w:szCs w:val="24"/>
              </w:rPr>
              <w:t>Enterprise – 160 szt na rok</w:t>
            </w:r>
            <w:r>
              <w:rPr>
                <w:szCs w:val="24"/>
              </w:rPr>
              <w:t xml:space="preserve"> - podstawa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3</w:t>
            </w:r>
          </w:p>
        </w:tc>
        <w:tc>
          <w:tcPr>
            <w:tcW w:w="1842" w:type="dxa"/>
          </w:tcPr>
          <w:p w14:paraId="546EBA56" w14:textId="77777777" w:rsidR="00AD0A8B" w:rsidRPr="000B32F2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3C7690EE" w14:textId="2F225DA1" w:rsidR="00AD0A8B" w:rsidRPr="000B32F2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0B32F2" w14:paraId="0551031A" w14:textId="77777777" w:rsidTr="00D9460A">
        <w:tc>
          <w:tcPr>
            <w:tcW w:w="5104" w:type="dxa"/>
          </w:tcPr>
          <w:p w14:paraId="54B6F402" w14:textId="42D0DB17" w:rsidR="00AD0A8B" w:rsidRPr="00D4198B" w:rsidRDefault="00D9460A" w:rsidP="0005649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="00AD0A8B">
              <w:rPr>
                <w:szCs w:val="24"/>
              </w:rPr>
              <w:t>Enterprise – 160 szt na 3 lata</w:t>
            </w:r>
            <w:r>
              <w:rPr>
                <w:szCs w:val="24"/>
              </w:rPr>
              <w:t xml:space="preserve"> - podstawa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4</w:t>
            </w:r>
          </w:p>
        </w:tc>
        <w:tc>
          <w:tcPr>
            <w:tcW w:w="1842" w:type="dxa"/>
          </w:tcPr>
          <w:p w14:paraId="15AB4AF3" w14:textId="77777777" w:rsidR="00AD0A8B" w:rsidRPr="000B32F2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09BBD117" w14:textId="36EF4EB5" w:rsidR="00AD0A8B" w:rsidRPr="000B32F2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D9460A" w14:paraId="3EAD9E7C" w14:textId="77777777" w:rsidTr="00D9460A">
        <w:tc>
          <w:tcPr>
            <w:tcW w:w="5104" w:type="dxa"/>
          </w:tcPr>
          <w:p w14:paraId="57F3F261" w14:textId="6671B02A" w:rsidR="00AD0A8B" w:rsidRPr="00D4198B" w:rsidRDefault="00D9460A" w:rsidP="0005649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="00AD0A8B">
              <w:rPr>
                <w:szCs w:val="24"/>
              </w:rPr>
              <w:t>Enterprise – 80 szt na rok</w:t>
            </w:r>
            <w:r>
              <w:rPr>
                <w:szCs w:val="24"/>
              </w:rPr>
              <w:t xml:space="preserve"> - opcja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3</w:t>
            </w:r>
          </w:p>
        </w:tc>
        <w:tc>
          <w:tcPr>
            <w:tcW w:w="1842" w:type="dxa"/>
          </w:tcPr>
          <w:p w14:paraId="78739DFE" w14:textId="77777777" w:rsidR="00AD0A8B" w:rsidRPr="00D9460A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44A66641" w14:textId="676713E8" w:rsidR="00AD0A8B" w:rsidRPr="00D9460A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D9460A" w14:paraId="4426C700" w14:textId="77777777" w:rsidTr="00D9460A">
        <w:tc>
          <w:tcPr>
            <w:tcW w:w="5104" w:type="dxa"/>
          </w:tcPr>
          <w:p w14:paraId="4C5D7F4B" w14:textId="78E99867" w:rsidR="00AD0A8B" w:rsidRPr="00D4198B" w:rsidRDefault="00D9460A" w:rsidP="0005649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="00AD0A8B">
              <w:rPr>
                <w:szCs w:val="24"/>
              </w:rPr>
              <w:t>Enterprise – 80 szt na 3 lata</w:t>
            </w:r>
            <w:r>
              <w:rPr>
                <w:szCs w:val="24"/>
              </w:rPr>
              <w:t xml:space="preserve"> - opcja </w:t>
            </w:r>
            <w:r w:rsidR="00A652F2">
              <w:rPr>
                <w:szCs w:val="24"/>
              </w:rPr>
              <w:t>war.</w:t>
            </w:r>
            <w:r>
              <w:rPr>
                <w:szCs w:val="24"/>
              </w:rPr>
              <w:t>4</w:t>
            </w:r>
          </w:p>
        </w:tc>
        <w:tc>
          <w:tcPr>
            <w:tcW w:w="1842" w:type="dxa"/>
          </w:tcPr>
          <w:p w14:paraId="22424911" w14:textId="77777777" w:rsidR="00AD0A8B" w:rsidRPr="00D9460A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39E93F1B" w14:textId="06811D00" w:rsidR="00AD0A8B" w:rsidRPr="00D9460A" w:rsidRDefault="00AD0A8B" w:rsidP="0005649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9460A" w:rsidRPr="00056491" w14:paraId="1278F251" w14:textId="77777777" w:rsidTr="00D9460A">
        <w:tc>
          <w:tcPr>
            <w:tcW w:w="5104" w:type="dxa"/>
          </w:tcPr>
          <w:p w14:paraId="615D026A" w14:textId="1CAF4D21" w:rsidR="00D9460A" w:rsidRPr="00D4198B" w:rsidRDefault="00D9460A" w:rsidP="00B70E9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1: </w:t>
            </w:r>
            <w:r w:rsidRPr="00056491">
              <w:rPr>
                <w:szCs w:val="24"/>
              </w:rPr>
              <w:t>usługi eksperckie do 100 godzin /rok płatne z dołu</w:t>
            </w:r>
            <w:r>
              <w:rPr>
                <w:szCs w:val="24"/>
              </w:rPr>
              <w:t xml:space="preserve"> kwartalnie</w:t>
            </w:r>
          </w:p>
        </w:tc>
        <w:tc>
          <w:tcPr>
            <w:tcW w:w="1842" w:type="dxa"/>
          </w:tcPr>
          <w:p w14:paraId="483292BF" w14:textId="77777777" w:rsidR="00D9460A" w:rsidRPr="00056491" w:rsidRDefault="00D9460A" w:rsidP="00B70E9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573474FD" w14:textId="77777777" w:rsidR="00D9460A" w:rsidRPr="00056491" w:rsidRDefault="00D9460A" w:rsidP="00B70E9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D9460A" w14:paraId="4B80D384" w14:textId="77777777" w:rsidTr="00D9460A">
        <w:tc>
          <w:tcPr>
            <w:tcW w:w="5104" w:type="dxa"/>
          </w:tcPr>
          <w:p w14:paraId="7EFB8957" w14:textId="4BB2EB12" w:rsidR="00AD0A8B" w:rsidRDefault="00D9460A" w:rsidP="00AD0A8B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Część 2: </w:t>
            </w:r>
            <w:r w:rsidR="00AD0A8B">
              <w:rPr>
                <w:szCs w:val="24"/>
              </w:rPr>
              <w:t xml:space="preserve">Enterprise – 288 szt na rok </w:t>
            </w:r>
            <w:r w:rsidR="00A652F2">
              <w:rPr>
                <w:szCs w:val="24"/>
              </w:rPr>
              <w:t>–</w:t>
            </w:r>
            <w:r>
              <w:rPr>
                <w:szCs w:val="24"/>
              </w:rPr>
              <w:t xml:space="preserve"> podstawa</w:t>
            </w:r>
            <w:r w:rsidR="00A652F2">
              <w:rPr>
                <w:szCs w:val="24"/>
              </w:rPr>
              <w:t xml:space="preserve"> war.1</w:t>
            </w:r>
          </w:p>
        </w:tc>
        <w:tc>
          <w:tcPr>
            <w:tcW w:w="1842" w:type="dxa"/>
          </w:tcPr>
          <w:p w14:paraId="12D0C1A0" w14:textId="77777777" w:rsidR="00AD0A8B" w:rsidRPr="00D9460A" w:rsidRDefault="00AD0A8B" w:rsidP="00AD0A8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6DA0C3B4" w14:textId="77777777" w:rsidR="00AD0A8B" w:rsidRPr="00D9460A" w:rsidRDefault="00AD0A8B" w:rsidP="00AD0A8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AD0A8B" w:rsidRPr="00D9460A" w14:paraId="556D0A2F" w14:textId="77777777" w:rsidTr="00D9460A">
        <w:tc>
          <w:tcPr>
            <w:tcW w:w="5104" w:type="dxa"/>
          </w:tcPr>
          <w:p w14:paraId="40853297" w14:textId="2774990C" w:rsidR="00AD0A8B" w:rsidRDefault="00D9460A" w:rsidP="00AD0A8B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2: </w:t>
            </w:r>
            <w:r w:rsidR="00AD0A8B">
              <w:rPr>
                <w:szCs w:val="24"/>
              </w:rPr>
              <w:t>Enterprise – 288 szt na 3 lata</w:t>
            </w:r>
            <w:r>
              <w:rPr>
                <w:szCs w:val="24"/>
              </w:rPr>
              <w:t xml:space="preserve"> </w:t>
            </w:r>
            <w:r w:rsidR="00A652F2">
              <w:rPr>
                <w:szCs w:val="24"/>
              </w:rPr>
              <w:t>–</w:t>
            </w:r>
            <w:r>
              <w:rPr>
                <w:szCs w:val="24"/>
              </w:rPr>
              <w:t xml:space="preserve"> podstawa</w:t>
            </w:r>
            <w:r w:rsidR="00A652F2">
              <w:rPr>
                <w:szCs w:val="24"/>
              </w:rPr>
              <w:t xml:space="preserve"> war.2</w:t>
            </w:r>
          </w:p>
        </w:tc>
        <w:tc>
          <w:tcPr>
            <w:tcW w:w="1842" w:type="dxa"/>
          </w:tcPr>
          <w:p w14:paraId="50F291D0" w14:textId="77777777" w:rsidR="00AD0A8B" w:rsidRPr="00D9460A" w:rsidRDefault="00AD0A8B" w:rsidP="00AD0A8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04D0B2EE" w14:textId="77777777" w:rsidR="00AD0A8B" w:rsidRPr="00D9460A" w:rsidRDefault="00AD0A8B" w:rsidP="00AD0A8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9460A" w:rsidRPr="00D9460A" w14:paraId="2C805C34" w14:textId="77777777" w:rsidTr="00D9460A">
        <w:tc>
          <w:tcPr>
            <w:tcW w:w="5104" w:type="dxa"/>
          </w:tcPr>
          <w:p w14:paraId="7F3B2EAF" w14:textId="122FA45B" w:rsid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2: Enterprise – 288 szt na rok </w:t>
            </w:r>
            <w:r w:rsidR="00A652F2">
              <w:rPr>
                <w:szCs w:val="24"/>
              </w:rPr>
              <w:t>–</w:t>
            </w:r>
            <w:r>
              <w:rPr>
                <w:szCs w:val="24"/>
              </w:rPr>
              <w:t xml:space="preserve"> opcja</w:t>
            </w:r>
            <w:r w:rsidR="00A652F2">
              <w:rPr>
                <w:szCs w:val="24"/>
              </w:rPr>
              <w:t xml:space="preserve"> war.1</w:t>
            </w:r>
          </w:p>
        </w:tc>
        <w:tc>
          <w:tcPr>
            <w:tcW w:w="1842" w:type="dxa"/>
          </w:tcPr>
          <w:p w14:paraId="1C7AE13E" w14:textId="77777777" w:rsidR="00D9460A" w:rsidRP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311FD021" w14:textId="77777777" w:rsidR="00D9460A" w:rsidRP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9460A" w:rsidRPr="00D9460A" w14:paraId="03825D80" w14:textId="77777777" w:rsidTr="00D9460A">
        <w:tc>
          <w:tcPr>
            <w:tcW w:w="5104" w:type="dxa"/>
          </w:tcPr>
          <w:p w14:paraId="19EC9F70" w14:textId="5B50D06C" w:rsid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Część 2: Enterprise – 288 szt na 3 lata </w:t>
            </w:r>
            <w:r w:rsidR="00A652F2">
              <w:rPr>
                <w:szCs w:val="24"/>
              </w:rPr>
              <w:t>–</w:t>
            </w:r>
            <w:r>
              <w:rPr>
                <w:szCs w:val="24"/>
              </w:rPr>
              <w:t xml:space="preserve"> opcja</w:t>
            </w:r>
            <w:r w:rsidR="00A652F2">
              <w:rPr>
                <w:szCs w:val="24"/>
              </w:rPr>
              <w:t xml:space="preserve"> war.2</w:t>
            </w:r>
          </w:p>
        </w:tc>
        <w:tc>
          <w:tcPr>
            <w:tcW w:w="1842" w:type="dxa"/>
          </w:tcPr>
          <w:p w14:paraId="25AD4C6D" w14:textId="77777777" w:rsidR="00D9460A" w:rsidRP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0459C90B" w14:textId="77777777" w:rsidR="00D9460A" w:rsidRP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9460A" w:rsidRPr="00D9460A" w14:paraId="70FDFE63" w14:textId="77777777" w:rsidTr="00D9460A">
        <w:tc>
          <w:tcPr>
            <w:tcW w:w="5104" w:type="dxa"/>
          </w:tcPr>
          <w:p w14:paraId="66460880" w14:textId="1B4C9FA3" w:rsid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 w:rsidRPr="00D9460A">
              <w:rPr>
                <w:szCs w:val="24"/>
              </w:rPr>
              <w:t xml:space="preserve">Część </w:t>
            </w:r>
            <w:r>
              <w:rPr>
                <w:szCs w:val="24"/>
              </w:rPr>
              <w:t>2</w:t>
            </w:r>
            <w:r w:rsidRPr="00D9460A">
              <w:rPr>
                <w:szCs w:val="24"/>
              </w:rPr>
              <w:t>: usługi eksperckie do 100 godzin /rok płatne z dołu kwartalnie</w:t>
            </w:r>
            <w:r w:rsidRPr="00D9460A">
              <w:rPr>
                <w:szCs w:val="24"/>
              </w:rPr>
              <w:tab/>
            </w:r>
            <w:r w:rsidRPr="00D9460A">
              <w:rPr>
                <w:szCs w:val="24"/>
              </w:rPr>
              <w:tab/>
            </w:r>
          </w:p>
        </w:tc>
        <w:tc>
          <w:tcPr>
            <w:tcW w:w="1842" w:type="dxa"/>
          </w:tcPr>
          <w:p w14:paraId="27C11535" w14:textId="77777777" w:rsidR="00D9460A" w:rsidRP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3" w:type="dxa"/>
          </w:tcPr>
          <w:p w14:paraId="35574BA6" w14:textId="77777777" w:rsidR="00D9460A" w:rsidRPr="00D9460A" w:rsidRDefault="00D9460A" w:rsidP="00D9460A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1750A19B" w14:textId="77777777" w:rsidR="00401FC3" w:rsidRPr="00056491" w:rsidRDefault="00401FC3" w:rsidP="00401FC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0B546BE9" w14:textId="77777777" w:rsidR="00401FC3" w:rsidRPr="00056491" w:rsidRDefault="00401FC3" w:rsidP="00401FC3">
      <w:pPr>
        <w:ind w:right="423"/>
        <w:rPr>
          <w:rFonts w:eastAsia="Arial Unicode MS"/>
          <w:b/>
          <w:color w:val="000000"/>
          <w:szCs w:val="24"/>
        </w:rPr>
      </w:pPr>
    </w:p>
    <w:p w14:paraId="40BC90C0" w14:textId="77777777" w:rsidR="00401FC3" w:rsidRPr="00056491" w:rsidRDefault="00401FC3" w:rsidP="00401FC3">
      <w:pPr>
        <w:ind w:right="423"/>
        <w:rPr>
          <w:rFonts w:eastAsia="Arial Unicode MS"/>
          <w:b/>
          <w:color w:val="000000"/>
          <w:szCs w:val="24"/>
        </w:rPr>
      </w:pPr>
    </w:p>
    <w:p w14:paraId="1D09FE0D" w14:textId="77777777" w:rsidR="00401FC3" w:rsidRPr="00485167" w:rsidRDefault="00401FC3" w:rsidP="00401FC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3640C92" w14:textId="77777777" w:rsidR="00401FC3" w:rsidRDefault="00401FC3" w:rsidP="00401FC3">
      <w:pPr>
        <w:spacing w:after="160" w:line="259" w:lineRule="auto"/>
      </w:pPr>
    </w:p>
    <w:p w14:paraId="5042FA54" w14:textId="4BC5E3F8" w:rsidR="000B32F2" w:rsidRDefault="000B32F2">
      <w:pPr>
        <w:spacing w:after="160" w:line="259" w:lineRule="auto"/>
      </w:pPr>
      <w:r>
        <w:br w:type="page"/>
      </w:r>
    </w:p>
    <w:p w14:paraId="4583FEB2" w14:textId="3662FBB3" w:rsidR="00F54A3D" w:rsidRDefault="00F54A3D" w:rsidP="00F54A3D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3CED9D6" w14:textId="704CB6ED" w:rsidR="00F54A3D" w:rsidRPr="00C7153B" w:rsidRDefault="00F54A3D" w:rsidP="00F54A3D">
      <w:pPr>
        <w:jc w:val="right"/>
        <w:rPr>
          <w:rFonts w:eastAsia="Arial Unicode MS"/>
          <w:b/>
          <w:i/>
          <w:color w:val="000000"/>
          <w:szCs w:val="24"/>
        </w:rPr>
      </w:pPr>
      <w:r>
        <w:rPr>
          <w:rFonts w:eastAsia="Arial Unicode MS"/>
          <w:b/>
          <w:i/>
          <w:color w:val="000000"/>
          <w:szCs w:val="24"/>
        </w:rPr>
        <w:t>Opis Przedmiotu Zamówienia</w:t>
      </w:r>
    </w:p>
    <w:p w14:paraId="49639DE6" w14:textId="77777777" w:rsidR="00F54A3D" w:rsidRPr="00F54A3D" w:rsidRDefault="00F54A3D" w:rsidP="00F54A3D">
      <w:pPr>
        <w:spacing w:after="15" w:line="276" w:lineRule="auto"/>
        <w:ind w:left="336" w:right="58"/>
        <w:jc w:val="both"/>
        <w:rPr>
          <w:color w:val="000000"/>
          <w:szCs w:val="24"/>
        </w:rPr>
      </w:pPr>
    </w:p>
    <w:p w14:paraId="2FB45BB5" w14:textId="1E0538E0" w:rsidR="000B32F2" w:rsidRPr="000B32F2" w:rsidRDefault="000B32F2" w:rsidP="000B32F2">
      <w:pPr>
        <w:numPr>
          <w:ilvl w:val="0"/>
          <w:numId w:val="14"/>
        </w:numPr>
        <w:spacing w:after="15" w:line="276" w:lineRule="auto"/>
        <w:ind w:right="58" w:hanging="336"/>
        <w:jc w:val="both"/>
        <w:rPr>
          <w:color w:val="000000"/>
          <w:szCs w:val="24"/>
        </w:rPr>
      </w:pPr>
      <w:r w:rsidRPr="000B32F2">
        <w:rPr>
          <w:b/>
          <w:color w:val="000000"/>
          <w:szCs w:val="24"/>
        </w:rPr>
        <w:t xml:space="preserve">Opis wymagań dla Produktów. </w:t>
      </w:r>
    </w:p>
    <w:p w14:paraId="352EEC59" w14:textId="77777777" w:rsidR="000B32F2" w:rsidRPr="000B32F2" w:rsidRDefault="000B32F2" w:rsidP="000B32F2">
      <w:pPr>
        <w:spacing w:line="276" w:lineRule="auto"/>
        <w:ind w:left="142"/>
        <w:rPr>
          <w:color w:val="000000"/>
          <w:szCs w:val="24"/>
        </w:rPr>
      </w:pPr>
      <w:r w:rsidRPr="000B32F2">
        <w:rPr>
          <w:b/>
          <w:color w:val="000000"/>
          <w:szCs w:val="24"/>
        </w:rPr>
        <w:t xml:space="preserve"> </w:t>
      </w:r>
    </w:p>
    <w:p w14:paraId="642DD1A5" w14:textId="535E050A" w:rsidR="000B32F2" w:rsidRDefault="000B32F2" w:rsidP="000B32F2">
      <w:pPr>
        <w:numPr>
          <w:ilvl w:val="0"/>
          <w:numId w:val="22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 xml:space="preserve">W przypadku dostarczenia subskrypcji oprogramowania </w:t>
      </w:r>
      <w:proofErr w:type="spellStart"/>
      <w:r w:rsidRPr="000B32F2">
        <w:rPr>
          <w:color w:val="000000"/>
          <w:sz w:val="20"/>
          <w:lang w:eastAsia="en-US"/>
        </w:rPr>
        <w:t>EnterpriseDB</w:t>
      </w:r>
      <w:proofErr w:type="spellEnd"/>
      <w:r w:rsidRPr="000B32F2">
        <w:rPr>
          <w:color w:val="000000"/>
          <w:sz w:val="20"/>
          <w:lang w:eastAsia="en-US"/>
        </w:rPr>
        <w:t>, aktywacja subskrypcji na koncie Centrum Informatyki Resortu Finansów.</w:t>
      </w:r>
    </w:p>
    <w:p w14:paraId="60584224" w14:textId="77777777" w:rsidR="00D9460A" w:rsidRDefault="00F54A3D" w:rsidP="000B32F2">
      <w:pPr>
        <w:numPr>
          <w:ilvl w:val="0"/>
          <w:numId w:val="22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>
        <w:rPr>
          <w:color w:val="000000"/>
          <w:sz w:val="20"/>
          <w:lang w:eastAsia="en-US"/>
        </w:rPr>
        <w:t>Prawo opcji</w:t>
      </w:r>
      <w:r w:rsidR="00D9460A">
        <w:rPr>
          <w:color w:val="000000"/>
          <w:sz w:val="20"/>
          <w:lang w:eastAsia="en-US"/>
        </w:rPr>
        <w:t>:</w:t>
      </w:r>
    </w:p>
    <w:p w14:paraId="12B13B31" w14:textId="27260A37" w:rsidR="00D9460A" w:rsidRDefault="00F54A3D" w:rsidP="00D9460A">
      <w:pPr>
        <w:numPr>
          <w:ilvl w:val="1"/>
          <w:numId w:val="22"/>
        </w:numPr>
        <w:tabs>
          <w:tab w:val="left" w:pos="360"/>
          <w:tab w:val="left" w:pos="1080"/>
        </w:tabs>
        <w:spacing w:after="15" w:line="276" w:lineRule="auto"/>
        <w:ind w:right="58"/>
        <w:jc w:val="both"/>
        <w:rPr>
          <w:color w:val="000000"/>
          <w:sz w:val="20"/>
        </w:rPr>
      </w:pPr>
      <w:r>
        <w:rPr>
          <w:color w:val="000000"/>
          <w:sz w:val="20"/>
          <w:lang w:eastAsia="en-US"/>
        </w:rPr>
        <w:t>możliwe do wykorzystania wielokrotnie</w:t>
      </w:r>
      <w:r w:rsidR="00D9460A">
        <w:rPr>
          <w:color w:val="000000"/>
          <w:sz w:val="20"/>
          <w:lang w:eastAsia="en-US"/>
        </w:rPr>
        <w:t>,</w:t>
      </w:r>
      <w:r>
        <w:rPr>
          <w:color w:val="000000"/>
          <w:sz w:val="20"/>
          <w:lang w:eastAsia="en-US"/>
        </w:rPr>
        <w:t xml:space="preserve"> </w:t>
      </w:r>
    </w:p>
    <w:p w14:paraId="74B7F2F9" w14:textId="79629B2C" w:rsidR="00D9460A" w:rsidRDefault="00F54A3D" w:rsidP="00D9460A">
      <w:pPr>
        <w:numPr>
          <w:ilvl w:val="1"/>
          <w:numId w:val="22"/>
        </w:numPr>
        <w:tabs>
          <w:tab w:val="left" w:pos="360"/>
          <w:tab w:val="left" w:pos="1080"/>
        </w:tabs>
        <w:spacing w:after="15" w:line="276" w:lineRule="auto"/>
        <w:ind w:right="58"/>
        <w:jc w:val="both"/>
        <w:rPr>
          <w:color w:val="000000"/>
          <w:sz w:val="20"/>
        </w:rPr>
      </w:pPr>
      <w:r>
        <w:rPr>
          <w:color w:val="000000"/>
          <w:sz w:val="20"/>
          <w:lang w:eastAsia="en-US"/>
        </w:rPr>
        <w:t>w nierównych częściach</w:t>
      </w:r>
      <w:r w:rsidR="00D9460A">
        <w:rPr>
          <w:color w:val="000000"/>
          <w:sz w:val="20"/>
          <w:lang w:eastAsia="en-US"/>
        </w:rPr>
        <w:t>,</w:t>
      </w:r>
      <w:r>
        <w:rPr>
          <w:color w:val="000000"/>
          <w:sz w:val="20"/>
          <w:lang w:eastAsia="en-US"/>
        </w:rPr>
        <w:t xml:space="preserve"> </w:t>
      </w:r>
    </w:p>
    <w:p w14:paraId="71CC34F0" w14:textId="77777777" w:rsidR="00D9460A" w:rsidRDefault="00F54A3D" w:rsidP="00D9460A">
      <w:pPr>
        <w:numPr>
          <w:ilvl w:val="1"/>
          <w:numId w:val="22"/>
        </w:numPr>
        <w:tabs>
          <w:tab w:val="left" w:pos="360"/>
          <w:tab w:val="left" w:pos="1080"/>
        </w:tabs>
        <w:spacing w:after="15" w:line="276" w:lineRule="auto"/>
        <w:ind w:right="58"/>
        <w:jc w:val="both"/>
        <w:rPr>
          <w:color w:val="000000"/>
          <w:sz w:val="20"/>
        </w:rPr>
      </w:pPr>
      <w:r>
        <w:rPr>
          <w:color w:val="000000"/>
          <w:sz w:val="20"/>
          <w:lang w:eastAsia="en-US"/>
        </w:rPr>
        <w:t xml:space="preserve">do określonego limitu. </w:t>
      </w:r>
    </w:p>
    <w:p w14:paraId="58F43BC7" w14:textId="4FF1295A" w:rsidR="00F54A3D" w:rsidRPr="000B32F2" w:rsidRDefault="00F54A3D" w:rsidP="00D9460A">
      <w:pPr>
        <w:numPr>
          <w:ilvl w:val="1"/>
          <w:numId w:val="22"/>
        </w:numPr>
        <w:tabs>
          <w:tab w:val="left" w:pos="360"/>
          <w:tab w:val="left" w:pos="1080"/>
        </w:tabs>
        <w:spacing w:after="15" w:line="276" w:lineRule="auto"/>
        <w:ind w:right="58"/>
        <w:jc w:val="both"/>
        <w:rPr>
          <w:color w:val="000000"/>
          <w:sz w:val="20"/>
        </w:rPr>
      </w:pPr>
      <w:r>
        <w:rPr>
          <w:color w:val="000000"/>
          <w:sz w:val="20"/>
          <w:lang w:eastAsia="en-US"/>
        </w:rPr>
        <w:t>Ważność prawa opcji wynosi 12 miesięcy od podpisania umowy.</w:t>
      </w:r>
    </w:p>
    <w:p w14:paraId="4CD09370" w14:textId="77777777" w:rsidR="000B32F2" w:rsidRPr="000B32F2" w:rsidRDefault="000B32F2" w:rsidP="000B32F2">
      <w:pPr>
        <w:numPr>
          <w:ilvl w:val="0"/>
          <w:numId w:val="22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</w:p>
    <w:p w14:paraId="78B50A1F" w14:textId="77777777" w:rsidR="000B32F2" w:rsidRPr="000B32F2" w:rsidRDefault="000B32F2" w:rsidP="000B32F2">
      <w:pPr>
        <w:numPr>
          <w:ilvl w:val="1"/>
          <w:numId w:val="22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Udostępnianie aktualizacji oprogramowania będącego przedmiotem projektu.</w:t>
      </w:r>
    </w:p>
    <w:p w14:paraId="545250AE" w14:textId="77777777" w:rsidR="000B32F2" w:rsidRPr="000B32F2" w:rsidRDefault="000B32F2" w:rsidP="000B32F2">
      <w:pPr>
        <w:numPr>
          <w:ilvl w:val="1"/>
          <w:numId w:val="22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Udostępnienie adresu URL do spersonalizowanej strony Producenta potwierdzającej dostęp do zamówionych subskrypcji.</w:t>
      </w:r>
    </w:p>
    <w:p w14:paraId="74EE0224" w14:textId="77777777" w:rsidR="000B32F2" w:rsidRPr="000B32F2" w:rsidRDefault="000B32F2" w:rsidP="000B32F2">
      <w:pPr>
        <w:numPr>
          <w:ilvl w:val="0"/>
          <w:numId w:val="22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</w:p>
    <w:p w14:paraId="69D52499" w14:textId="77777777" w:rsidR="000B32F2" w:rsidRPr="000B32F2" w:rsidRDefault="000B32F2" w:rsidP="000B32F2">
      <w:pPr>
        <w:numPr>
          <w:ilvl w:val="1"/>
          <w:numId w:val="22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Licencje umożliwiają swobodne przenoszenie oprogramowania pomiędzy serwerami oraz korzystanie z oprogramowania przez określony czas.</w:t>
      </w:r>
    </w:p>
    <w:p w14:paraId="30E9F5CC" w14:textId="77777777" w:rsidR="000B32F2" w:rsidRPr="000B32F2" w:rsidRDefault="000B32F2" w:rsidP="000B32F2">
      <w:pPr>
        <w:numPr>
          <w:ilvl w:val="1"/>
          <w:numId w:val="22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Oprogramowanie musi być kompatybilne z następującymi systemami operacyjnymi:</w:t>
      </w:r>
    </w:p>
    <w:p w14:paraId="1A876263" w14:textId="77777777" w:rsidR="000B32F2" w:rsidRPr="000B32F2" w:rsidRDefault="000B32F2" w:rsidP="000B32F2">
      <w:pPr>
        <w:numPr>
          <w:ilvl w:val="2"/>
          <w:numId w:val="22"/>
        </w:numPr>
        <w:tabs>
          <w:tab w:val="left" w:pos="1800"/>
          <w:tab w:val="left" w:pos="2520"/>
        </w:tabs>
        <w:spacing w:after="15" w:line="276" w:lineRule="auto"/>
        <w:ind w:left="2520" w:right="58" w:hanging="360"/>
        <w:jc w:val="both"/>
        <w:rPr>
          <w:color w:val="000000"/>
          <w:sz w:val="20"/>
          <w:lang w:val="en-US"/>
        </w:rPr>
      </w:pPr>
      <w:r w:rsidRPr="000B32F2">
        <w:rPr>
          <w:color w:val="000000"/>
          <w:sz w:val="20"/>
          <w:lang w:val="en-US" w:eastAsia="en-US"/>
        </w:rPr>
        <w:t>Red Hat Enterprise Linux 8.x/9.x</w:t>
      </w:r>
    </w:p>
    <w:p w14:paraId="56D62A2F" w14:textId="77777777" w:rsidR="000B32F2" w:rsidRPr="000B32F2" w:rsidRDefault="000B32F2" w:rsidP="000B32F2">
      <w:pPr>
        <w:numPr>
          <w:ilvl w:val="2"/>
          <w:numId w:val="22"/>
        </w:numPr>
        <w:tabs>
          <w:tab w:val="left" w:pos="1800"/>
          <w:tab w:val="left" w:pos="2520"/>
        </w:tabs>
        <w:spacing w:after="15" w:line="276" w:lineRule="auto"/>
        <w:ind w:left="2520" w:right="58" w:hanging="360"/>
        <w:jc w:val="both"/>
        <w:rPr>
          <w:color w:val="000000"/>
          <w:sz w:val="20"/>
          <w:lang w:val="en-US"/>
        </w:rPr>
      </w:pPr>
      <w:r w:rsidRPr="000B32F2">
        <w:rPr>
          <w:color w:val="000000"/>
          <w:sz w:val="20"/>
          <w:lang w:val="en-US" w:eastAsia="en-US"/>
        </w:rPr>
        <w:t>SUSE Linux Enterprise Server 12.x/15.x</w:t>
      </w:r>
    </w:p>
    <w:p w14:paraId="711D2C15" w14:textId="77777777" w:rsidR="000B32F2" w:rsidRPr="000B32F2" w:rsidRDefault="000B32F2" w:rsidP="000B32F2">
      <w:pPr>
        <w:numPr>
          <w:ilvl w:val="2"/>
          <w:numId w:val="22"/>
        </w:numPr>
        <w:tabs>
          <w:tab w:val="left" w:pos="1800"/>
          <w:tab w:val="left" w:pos="2520"/>
        </w:tabs>
        <w:spacing w:after="15" w:line="276" w:lineRule="auto"/>
        <w:ind w:left="2520" w:right="58" w:hanging="360"/>
        <w:jc w:val="both"/>
        <w:rPr>
          <w:color w:val="000000"/>
          <w:sz w:val="20"/>
          <w:lang w:val="en-US"/>
        </w:rPr>
      </w:pPr>
      <w:r w:rsidRPr="000B32F2">
        <w:rPr>
          <w:color w:val="000000"/>
          <w:sz w:val="20"/>
          <w:lang w:val="en-US" w:eastAsia="en-US"/>
        </w:rPr>
        <w:t>Oracle Linux 8.x/9.x</w:t>
      </w:r>
    </w:p>
    <w:p w14:paraId="073107C3" w14:textId="77777777" w:rsidR="000B32F2" w:rsidRPr="000B32F2" w:rsidRDefault="000B32F2" w:rsidP="000B32F2">
      <w:pPr>
        <w:numPr>
          <w:ilvl w:val="2"/>
          <w:numId w:val="22"/>
        </w:numPr>
        <w:tabs>
          <w:tab w:val="left" w:pos="1800"/>
          <w:tab w:val="left" w:pos="2520"/>
        </w:tabs>
        <w:spacing w:after="15" w:line="276" w:lineRule="auto"/>
        <w:ind w:left="2520" w:right="58" w:hanging="360"/>
        <w:jc w:val="both"/>
        <w:rPr>
          <w:color w:val="000000"/>
          <w:sz w:val="20"/>
          <w:lang w:val="en-US"/>
        </w:rPr>
      </w:pPr>
      <w:r w:rsidRPr="000B32F2">
        <w:rPr>
          <w:color w:val="000000"/>
          <w:sz w:val="20"/>
          <w:lang w:val="en-US" w:eastAsia="en-US"/>
        </w:rPr>
        <w:t>Ubuntu 20.x / 22.x</w:t>
      </w:r>
    </w:p>
    <w:p w14:paraId="7F036721" w14:textId="77777777" w:rsidR="000B32F2" w:rsidRPr="000B32F2" w:rsidRDefault="000B32F2" w:rsidP="000B32F2">
      <w:pPr>
        <w:numPr>
          <w:ilvl w:val="2"/>
          <w:numId w:val="22"/>
        </w:numPr>
        <w:tabs>
          <w:tab w:val="left" w:pos="1800"/>
          <w:tab w:val="left" w:pos="2520"/>
        </w:tabs>
        <w:spacing w:after="15" w:line="276" w:lineRule="auto"/>
        <w:ind w:left="2520" w:right="58" w:hanging="360"/>
        <w:jc w:val="both"/>
        <w:rPr>
          <w:color w:val="000000"/>
          <w:sz w:val="20"/>
          <w:lang w:val="en-US"/>
        </w:rPr>
      </w:pPr>
      <w:r w:rsidRPr="000B32F2">
        <w:rPr>
          <w:color w:val="000000"/>
          <w:sz w:val="20"/>
          <w:lang w:val="en-US" w:eastAsia="en-US"/>
        </w:rPr>
        <w:t>Windows Server 2019</w:t>
      </w:r>
    </w:p>
    <w:p w14:paraId="2DA9B03D" w14:textId="77777777" w:rsidR="000B32F2" w:rsidRPr="000B32F2" w:rsidRDefault="000B32F2" w:rsidP="000B32F2">
      <w:pPr>
        <w:numPr>
          <w:ilvl w:val="0"/>
          <w:numId w:val="22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W przypadku zaoferowania produktu równoważnego, wykonawca zobowiązany jest na własny koszt udowodnić pełną kompatybilność oferowanego oprogramowania z oprogramowaniem posiadanym przez CIRF.</w:t>
      </w:r>
    </w:p>
    <w:p w14:paraId="61DAEC20" w14:textId="77777777" w:rsidR="000B32F2" w:rsidRPr="000B32F2" w:rsidRDefault="000B32F2" w:rsidP="000B32F2">
      <w:pPr>
        <w:spacing w:line="276" w:lineRule="auto"/>
        <w:ind w:left="567"/>
        <w:jc w:val="both"/>
        <w:rPr>
          <w:b/>
          <w:color w:val="000000"/>
          <w:szCs w:val="24"/>
        </w:rPr>
      </w:pPr>
    </w:p>
    <w:p w14:paraId="26A16AE8" w14:textId="77777777" w:rsidR="000B32F2" w:rsidRPr="000B32F2" w:rsidRDefault="000B32F2" w:rsidP="000B32F2">
      <w:pPr>
        <w:numPr>
          <w:ilvl w:val="0"/>
          <w:numId w:val="14"/>
        </w:numPr>
        <w:spacing w:after="15" w:line="276" w:lineRule="auto"/>
        <w:ind w:left="567" w:right="58" w:hanging="567"/>
        <w:jc w:val="both"/>
        <w:rPr>
          <w:b/>
          <w:color w:val="000000"/>
          <w:szCs w:val="24"/>
        </w:rPr>
      </w:pPr>
      <w:r w:rsidRPr="000B32F2">
        <w:rPr>
          <w:b/>
          <w:color w:val="000000"/>
          <w:szCs w:val="24"/>
        </w:rPr>
        <w:t>Wymagania w zakresie gwarancji Producenta na Produkt dostarczony w ramach zamówienia.</w:t>
      </w:r>
    </w:p>
    <w:p w14:paraId="198F139C" w14:textId="77777777" w:rsidR="000B32F2" w:rsidRPr="000B32F2" w:rsidRDefault="000B32F2" w:rsidP="000B32F2">
      <w:pPr>
        <w:numPr>
          <w:ilvl w:val="0"/>
          <w:numId w:val="20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Wykonawca zobowiązany jest zapewnić świadczenia gwarancyjne Producenta, obejmujące:</w:t>
      </w:r>
    </w:p>
    <w:p w14:paraId="20F00C88" w14:textId="77777777" w:rsidR="000B32F2" w:rsidRPr="000B32F2" w:rsidRDefault="000B32F2" w:rsidP="000B32F2">
      <w:pPr>
        <w:numPr>
          <w:ilvl w:val="1"/>
          <w:numId w:val="20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Aktualizacje oprogramowania oraz dostęp do nowych wersji, wydań uzupełniających i poprawek programistycznych bez dodatkowych opłat.</w:t>
      </w:r>
    </w:p>
    <w:p w14:paraId="341D9479" w14:textId="77777777" w:rsidR="000B32F2" w:rsidRPr="000B32F2" w:rsidRDefault="000B32F2" w:rsidP="000B32F2">
      <w:pPr>
        <w:numPr>
          <w:ilvl w:val="1"/>
          <w:numId w:val="20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Gwarancję Producenta przez okres zgodny z czasem trwania subskrypcji, liczonym od daty ustalonej z Zamawiającym lub od dnia podpisania protokołu odbioru bez zastrzeżeń.</w:t>
      </w:r>
    </w:p>
    <w:p w14:paraId="6DD5C257" w14:textId="77777777" w:rsidR="000B32F2" w:rsidRPr="000B32F2" w:rsidRDefault="000B32F2" w:rsidP="000B32F2">
      <w:pPr>
        <w:numPr>
          <w:ilvl w:val="0"/>
          <w:numId w:val="20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Najpóźniej w dniu podpisania protokołu odbioru, Wykonawca wskaże stronę internetową Producenta, na której będą dostępne aktualizacje i nowe wersje oprogramowania. W przypadku braku możliwości pobrania plików, Wykonawca zobowiązany jest dostarczyć je na elektronicznych nośnikach w terminie 5 dni roboczych od dnia zgłoszenia żądania, co zostanie potwierdzone protokołem przekazania.</w:t>
      </w:r>
    </w:p>
    <w:p w14:paraId="3C8D8262" w14:textId="77777777" w:rsidR="000B32F2" w:rsidRPr="000B32F2" w:rsidRDefault="000B32F2" w:rsidP="000B32F2">
      <w:pPr>
        <w:spacing w:line="276" w:lineRule="auto"/>
        <w:ind w:left="720" w:hanging="10"/>
        <w:jc w:val="both"/>
        <w:rPr>
          <w:color w:val="000000"/>
          <w:sz w:val="20"/>
          <w:lang w:eastAsia="en-US"/>
        </w:rPr>
      </w:pPr>
    </w:p>
    <w:p w14:paraId="1BCFD055" w14:textId="77777777" w:rsidR="000B32F2" w:rsidRPr="000B32F2" w:rsidRDefault="000B32F2" w:rsidP="000B32F2">
      <w:pPr>
        <w:numPr>
          <w:ilvl w:val="0"/>
          <w:numId w:val="14"/>
        </w:numPr>
        <w:spacing w:after="15" w:line="276" w:lineRule="auto"/>
        <w:ind w:left="567" w:right="58" w:hanging="567"/>
        <w:jc w:val="both"/>
        <w:rPr>
          <w:b/>
          <w:bCs/>
          <w:color w:val="000000"/>
          <w:szCs w:val="24"/>
        </w:rPr>
      </w:pPr>
      <w:r w:rsidRPr="000B32F2">
        <w:rPr>
          <w:b/>
          <w:color w:val="000000"/>
          <w:szCs w:val="24"/>
        </w:rPr>
        <w:t>Warunki realizacji usług dodatkowych</w:t>
      </w:r>
    </w:p>
    <w:p w14:paraId="0E78017B" w14:textId="77777777" w:rsidR="000B32F2" w:rsidRPr="000B32F2" w:rsidRDefault="000B32F2" w:rsidP="000B32F2">
      <w:pPr>
        <w:numPr>
          <w:ilvl w:val="0"/>
          <w:numId w:val="13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 w:rsidRPr="000B32F2">
        <w:rPr>
          <w:color w:val="000000"/>
          <w:szCs w:val="24"/>
        </w:rPr>
        <w:t>W</w:t>
      </w:r>
      <w:r w:rsidRPr="000B32F2">
        <w:rPr>
          <w:color w:val="000000"/>
          <w:sz w:val="20"/>
        </w:rPr>
        <w:t xml:space="preserve">ykonawca zobowiązuje się świadczyć w wymiarze </w:t>
      </w:r>
      <w:r w:rsidRPr="000B32F2">
        <w:rPr>
          <w:b/>
          <w:bCs/>
          <w:color w:val="000000"/>
          <w:sz w:val="20"/>
        </w:rPr>
        <w:t>maksymalnie 100 godzin</w:t>
      </w:r>
      <w:r w:rsidRPr="000B32F2">
        <w:rPr>
          <w:color w:val="000000"/>
          <w:sz w:val="20"/>
        </w:rPr>
        <w:t xml:space="preserve"> (zegarowych) przez okres trwania umowy usługi polegające na: </w:t>
      </w:r>
    </w:p>
    <w:p w14:paraId="2CDD92CB" w14:textId="77777777" w:rsidR="000B32F2" w:rsidRPr="000B32F2" w:rsidRDefault="000B32F2" w:rsidP="000B32F2">
      <w:pPr>
        <w:numPr>
          <w:ilvl w:val="1"/>
          <w:numId w:val="12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 w:rsidRPr="000B32F2">
        <w:rPr>
          <w:color w:val="000000"/>
          <w:sz w:val="20"/>
        </w:rPr>
        <w:t xml:space="preserve">Instalacji i konfiguracji nowych wersji, poprawek, rozszerzeń oraz aktualizacji Oprogramowania, </w:t>
      </w:r>
    </w:p>
    <w:p w14:paraId="4B5537AF" w14:textId="5946BA98" w:rsidR="000B32F2" w:rsidRPr="000B32F2" w:rsidRDefault="000B32F2" w:rsidP="000B32F2">
      <w:pPr>
        <w:numPr>
          <w:ilvl w:val="1"/>
          <w:numId w:val="12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>
        <w:rPr>
          <w:color w:val="000000"/>
          <w:sz w:val="20"/>
        </w:rPr>
        <w:t>Dostosowania (</w:t>
      </w:r>
      <w:proofErr w:type="spellStart"/>
      <w:r>
        <w:rPr>
          <w:color w:val="000000"/>
          <w:sz w:val="20"/>
        </w:rPr>
        <w:t>kastomizacji</w:t>
      </w:r>
      <w:proofErr w:type="spellEnd"/>
      <w:r>
        <w:rPr>
          <w:color w:val="000000"/>
          <w:sz w:val="20"/>
        </w:rPr>
        <w:t>)</w:t>
      </w:r>
      <w:r w:rsidRPr="000B32F2">
        <w:rPr>
          <w:color w:val="000000"/>
          <w:sz w:val="20"/>
        </w:rPr>
        <w:t>,</w:t>
      </w:r>
    </w:p>
    <w:p w14:paraId="1F46086C" w14:textId="77777777" w:rsidR="000B32F2" w:rsidRPr="000B32F2" w:rsidRDefault="000B32F2" w:rsidP="000B32F2">
      <w:pPr>
        <w:numPr>
          <w:ilvl w:val="1"/>
          <w:numId w:val="12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 w:rsidRPr="000B32F2">
        <w:rPr>
          <w:color w:val="000000"/>
          <w:sz w:val="20"/>
        </w:rPr>
        <w:t xml:space="preserve">przechodzenia na nową wersję Oprogramowania, </w:t>
      </w:r>
    </w:p>
    <w:p w14:paraId="5CBDD486" w14:textId="77777777" w:rsidR="000B32F2" w:rsidRPr="000B32F2" w:rsidRDefault="000B32F2" w:rsidP="000B32F2">
      <w:pPr>
        <w:numPr>
          <w:ilvl w:val="1"/>
          <w:numId w:val="12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 w:rsidRPr="000B32F2">
        <w:rPr>
          <w:color w:val="000000"/>
          <w:sz w:val="20"/>
        </w:rPr>
        <w:lastRenderedPageBreak/>
        <w:t xml:space="preserve">przeprowadzania  instruktaży, warsztatów, </w:t>
      </w:r>
    </w:p>
    <w:p w14:paraId="798F08D8" w14:textId="77777777" w:rsidR="000B32F2" w:rsidRPr="000B32F2" w:rsidRDefault="000B32F2" w:rsidP="000B32F2">
      <w:pPr>
        <w:numPr>
          <w:ilvl w:val="1"/>
          <w:numId w:val="12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 w:rsidRPr="000B32F2">
        <w:rPr>
          <w:color w:val="000000"/>
          <w:sz w:val="20"/>
        </w:rPr>
        <w:t xml:space="preserve">uczestnictwa w testach Oprogramowania. </w:t>
      </w:r>
    </w:p>
    <w:p w14:paraId="7F534372" w14:textId="77777777" w:rsidR="000B32F2" w:rsidRPr="000B32F2" w:rsidRDefault="000B32F2" w:rsidP="000B32F2">
      <w:pPr>
        <w:numPr>
          <w:ilvl w:val="0"/>
          <w:numId w:val="13"/>
        </w:numPr>
        <w:spacing w:after="44" w:line="276" w:lineRule="auto"/>
        <w:ind w:right="54"/>
        <w:jc w:val="both"/>
        <w:rPr>
          <w:color w:val="000000" w:themeColor="text1"/>
          <w:sz w:val="20"/>
        </w:rPr>
      </w:pPr>
      <w:r w:rsidRPr="000B32F2">
        <w:rPr>
          <w:color w:val="000000"/>
          <w:sz w:val="20"/>
        </w:rPr>
        <w:t>Zamawiający każdorazowo zgłosi z wyprzedzeniem przynajmniej 5 Dni Roboczych potrzebę wykonania poszczególnych usług poprzez przekazanie zapotrzebowania drogą elektroniczną, którego formalne potwierdzenie stanowi przesłany do Wykonawcy formularz zgłoszenia zapotrzebowania.</w:t>
      </w:r>
    </w:p>
    <w:p w14:paraId="384F6BB8" w14:textId="77777777" w:rsidR="000B32F2" w:rsidRPr="000B32F2" w:rsidRDefault="000B32F2" w:rsidP="00F54A3D">
      <w:pPr>
        <w:pStyle w:val="Nagwek1"/>
      </w:pPr>
      <w:r w:rsidRPr="000B32F2">
        <w:t xml:space="preserve">Kryteria stosowane w celu oceny równoważności dla Produktów równoważnych oraz programów sprzedaży:  </w:t>
      </w:r>
    </w:p>
    <w:p w14:paraId="59E43CB2" w14:textId="77777777" w:rsidR="000B32F2" w:rsidRPr="000B32F2" w:rsidRDefault="000B32F2" w:rsidP="000B32F2">
      <w:pPr>
        <w:numPr>
          <w:ilvl w:val="0"/>
          <w:numId w:val="21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W przypadku zaoferowania Produktów równoważnych, muszą one pochodzić z oficjalnego programu sprzedaży jednego Producenta oferowanego oprogramowania oraz być kompatybilne z wymienionym w rozdziale II oprogramowaniem CIRF.</w:t>
      </w:r>
    </w:p>
    <w:p w14:paraId="23F9641D" w14:textId="77777777" w:rsidR="000B32F2" w:rsidRPr="000B32F2" w:rsidRDefault="000B32F2" w:rsidP="000B32F2">
      <w:pPr>
        <w:numPr>
          <w:ilvl w:val="0"/>
          <w:numId w:val="21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Warunki równoważności:</w:t>
      </w:r>
    </w:p>
    <w:p w14:paraId="31827225" w14:textId="77777777" w:rsidR="000B32F2" w:rsidRPr="000B32F2" w:rsidRDefault="000B32F2" w:rsidP="000B32F2">
      <w:pPr>
        <w:numPr>
          <w:ilvl w:val="1"/>
          <w:numId w:val="21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Produkt równoważny musi wymieniać dane ze środowiskiem programowym CIRF bez konieczności stosowania dodatkowego oprogramowania od innego producenta.</w:t>
      </w:r>
    </w:p>
    <w:p w14:paraId="7461C576" w14:textId="77777777" w:rsidR="000B32F2" w:rsidRPr="000B32F2" w:rsidRDefault="000B32F2" w:rsidP="000B32F2">
      <w:pPr>
        <w:numPr>
          <w:ilvl w:val="1"/>
          <w:numId w:val="21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Produkt musi być całkowicie kompatybilny zarówno z oferowanym oprogramowaniem, jak i środowiskiem CIRF, bez potrzeby jego dostosowywania.</w:t>
      </w:r>
    </w:p>
    <w:p w14:paraId="65E13FC5" w14:textId="77777777" w:rsidR="000B32F2" w:rsidRPr="000B32F2" w:rsidRDefault="000B32F2" w:rsidP="000B32F2">
      <w:pPr>
        <w:numPr>
          <w:ilvl w:val="1"/>
          <w:numId w:val="21"/>
        </w:numPr>
        <w:tabs>
          <w:tab w:val="left" w:pos="1080"/>
          <w:tab w:val="left" w:pos="1800"/>
        </w:tabs>
        <w:spacing w:after="15" w:line="276" w:lineRule="auto"/>
        <w:ind w:left="180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 xml:space="preserve">Produkt równoważny musi zapewniać funkcjonalności na poziomie co najmniej równym oprogramowaniu </w:t>
      </w:r>
      <w:proofErr w:type="spellStart"/>
      <w:r w:rsidRPr="000B32F2">
        <w:rPr>
          <w:color w:val="000000"/>
          <w:sz w:val="20"/>
          <w:lang w:eastAsia="en-US"/>
        </w:rPr>
        <w:t>EnterpriseDB</w:t>
      </w:r>
      <w:proofErr w:type="spellEnd"/>
      <w:r w:rsidRPr="000B32F2">
        <w:rPr>
          <w:color w:val="000000"/>
          <w:sz w:val="20"/>
          <w:lang w:eastAsia="en-US"/>
        </w:rPr>
        <w:t>.</w:t>
      </w:r>
    </w:p>
    <w:p w14:paraId="0D5844CE" w14:textId="77777777" w:rsidR="000B32F2" w:rsidRPr="000B32F2" w:rsidRDefault="000B32F2" w:rsidP="000B32F2">
      <w:pPr>
        <w:numPr>
          <w:ilvl w:val="0"/>
          <w:numId w:val="21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 xml:space="preserve">Wykonawca zobowiązany jest przeprowadzić dwa warsztaty w języku polskim dla 10 pracowników CIRF z zakresu instalacji i konfiguracji Produktu równoważnego, w konfiguracji wysokiej dostępności w środowisku rozłożonym w 3 centrach danych. Warsztaty muszą obejmować 5 dni roboczych, z zapewnieniem wyżywienia i sali szkoleniowej w Warszawie lub Radomiu. Każdy z uczestników powinien mieć zapewnione środowisko warsztatowe do testów w trakcie trwania warsztatów. </w:t>
      </w:r>
    </w:p>
    <w:p w14:paraId="0E545D51" w14:textId="77777777" w:rsidR="000B32F2" w:rsidRPr="000B32F2" w:rsidRDefault="000B32F2" w:rsidP="000B32F2">
      <w:pPr>
        <w:numPr>
          <w:ilvl w:val="0"/>
          <w:numId w:val="21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>W przypadku niewłaściwej współpracy Produktu równoważnego z oprogramowaniem CIRF, Wykonawca ponosi wszystkie koszty związane z zapewnieniem prawidłowego funkcjonowania środowiska.</w:t>
      </w:r>
    </w:p>
    <w:p w14:paraId="558CB508" w14:textId="77777777" w:rsidR="000B32F2" w:rsidRPr="000B32F2" w:rsidRDefault="000B32F2" w:rsidP="000B32F2">
      <w:pPr>
        <w:numPr>
          <w:ilvl w:val="0"/>
          <w:numId w:val="21"/>
        </w:numPr>
        <w:tabs>
          <w:tab w:val="left" w:pos="360"/>
          <w:tab w:val="left" w:pos="1080"/>
        </w:tabs>
        <w:spacing w:after="15" w:line="276" w:lineRule="auto"/>
        <w:ind w:left="1080" w:right="58"/>
        <w:jc w:val="both"/>
        <w:rPr>
          <w:color w:val="000000"/>
          <w:sz w:val="20"/>
        </w:rPr>
      </w:pPr>
      <w:r w:rsidRPr="000B32F2">
        <w:rPr>
          <w:color w:val="000000"/>
          <w:sz w:val="20"/>
          <w:lang w:eastAsia="en-US"/>
        </w:rPr>
        <w:t xml:space="preserve">Produkt równoważny nie może być w momencie składania oferty ani w okresie trzech lat od jej złożenia, objęty zakończeniem wsparcia technicznego Producenta. </w:t>
      </w:r>
    </w:p>
    <w:p w14:paraId="1209CE1F" w14:textId="77777777" w:rsidR="000B32F2" w:rsidRPr="000B32F2" w:rsidRDefault="000B32F2" w:rsidP="000B32F2">
      <w:pPr>
        <w:spacing w:after="15" w:line="303" w:lineRule="auto"/>
        <w:ind w:left="152" w:right="58" w:hanging="10"/>
        <w:jc w:val="both"/>
        <w:rPr>
          <w:color w:val="000000"/>
          <w:szCs w:val="22"/>
        </w:rPr>
      </w:pPr>
    </w:p>
    <w:p w14:paraId="204E2C4B" w14:textId="404A9471" w:rsidR="000B32F2" w:rsidRPr="00F54A3D" w:rsidRDefault="00F54A3D" w:rsidP="00F54A3D">
      <w:pPr>
        <w:pStyle w:val="Nagwek1"/>
      </w:pPr>
      <w:r>
        <w:t xml:space="preserve">Wymagania funkcjonalne dla produktów </w:t>
      </w:r>
      <w:r w:rsidR="000B32F2" w:rsidRPr="00F54A3D">
        <w:t>Standard Plan (</w:t>
      </w:r>
      <w:proofErr w:type="spellStart"/>
      <w:r w:rsidR="000B32F2" w:rsidRPr="00F54A3D">
        <w:t>uniCores</w:t>
      </w:r>
      <w:proofErr w:type="spellEnd"/>
      <w:r w:rsidR="000B32F2" w:rsidRPr="00F54A3D">
        <w:t xml:space="preserve">) </w:t>
      </w:r>
    </w:p>
    <w:p w14:paraId="72060957" w14:textId="77777777" w:rsidR="000B32F2" w:rsidRPr="000B32F2" w:rsidRDefault="000B32F2" w:rsidP="000B32F2">
      <w:pPr>
        <w:spacing w:after="15" w:line="303" w:lineRule="auto"/>
        <w:ind w:left="152" w:right="58" w:hanging="10"/>
        <w:jc w:val="both"/>
        <w:rPr>
          <w:color w:val="000000"/>
          <w:szCs w:val="22"/>
          <w:lang w:val="en-US"/>
        </w:rPr>
      </w:pPr>
      <w:r w:rsidRPr="000B32F2">
        <w:rPr>
          <w:color w:val="000000"/>
          <w:szCs w:val="22"/>
          <w:lang w:val="en-US"/>
        </w:rPr>
        <w:t>Level: Premium 24 x 7 x 365 Support</w:t>
      </w:r>
    </w:p>
    <w:p w14:paraId="6CA15579" w14:textId="77777777" w:rsidR="000B32F2" w:rsidRPr="000B32F2" w:rsidRDefault="000B32F2" w:rsidP="000B32F2">
      <w:pPr>
        <w:spacing w:after="15" w:line="303" w:lineRule="auto"/>
        <w:ind w:left="152" w:right="58" w:hanging="10"/>
        <w:jc w:val="both"/>
        <w:rPr>
          <w:color w:val="000000"/>
          <w:szCs w:val="22"/>
          <w:lang w:val="en-US"/>
        </w:rPr>
      </w:pPr>
    </w:p>
    <w:tbl>
      <w:tblPr>
        <w:tblStyle w:val="Tabela-Siatka1"/>
        <w:tblW w:w="9388" w:type="dxa"/>
        <w:tblInd w:w="12" w:type="dxa"/>
        <w:tblCellMar>
          <w:top w:w="52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0B32F2" w:rsidRPr="000B32F2" w14:paraId="490D3F8F" w14:textId="77777777" w:rsidTr="009A160B">
        <w:trPr>
          <w:trHeight w:val="40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459015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Kryteria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59610BE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Opis </w:t>
            </w:r>
          </w:p>
        </w:tc>
      </w:tr>
      <w:tr w:rsidR="000B32F2" w:rsidRPr="000B32F2" w14:paraId="0DFE8F94" w14:textId="77777777" w:rsidTr="009A160B">
        <w:trPr>
          <w:trHeight w:val="40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C4C386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Dostępność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31D818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574B7B0F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E67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Wysoka dostępność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3A0C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środowisko wysokiej dostępności.  </w:t>
            </w:r>
          </w:p>
        </w:tc>
      </w:tr>
      <w:tr w:rsidR="000B32F2" w:rsidRPr="000B32F2" w14:paraId="25C95F34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D1F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  <w:highlight w:val="green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Wysoka dostępność - architektura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5FD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środowisko zautomatyzowanych klastrów wysokiej dostępności w trybie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primary-standby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zarządzające wieloma fizycznymi replikami bazy podstawowej (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299DCCD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</w:p>
        </w:tc>
      </w:tr>
      <w:tr w:rsidR="000B32F2" w:rsidRPr="000B32F2" w14:paraId="6621948E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1FB7" w14:textId="77777777" w:rsidR="000B32F2" w:rsidRPr="000B32F2" w:rsidRDefault="000B32F2" w:rsidP="000B32F2">
            <w:pPr>
              <w:spacing w:line="303" w:lineRule="auto"/>
              <w:ind w:left="152" w:right="37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Wysoka dostępność i zabezpieczenie danych przed utratą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B707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bazy danych powinien umożliwiać na uruchomienie replik fizycznych w trybie synchronicznym i asynchronicznym.</w:t>
            </w:r>
          </w:p>
          <w:p w14:paraId="29E58B6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B32F2" w:rsidRPr="000B32F2" w14:paraId="74F43C7A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F6E2" w14:textId="77777777" w:rsidR="000B32F2" w:rsidRPr="000B32F2" w:rsidRDefault="000B32F2" w:rsidP="000B32F2">
            <w:pPr>
              <w:spacing w:line="303" w:lineRule="auto"/>
              <w:ind w:left="152" w:right="37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Wysoka dostępność - zarządzanie połączeniami aplikacyjnymi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1A2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Aplikacje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powinne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łączyć się do usługi bazy danych poprzez:</w:t>
            </w:r>
          </w:p>
          <w:p w14:paraId="7BFF88F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Zarządzany automatycznie wirtualny adres IP możliwy do przydzielenia na serwerach obsługujących bazę danych, przekierowujący ruch zapisowy do właściwej bazy danych.</w:t>
            </w:r>
          </w:p>
          <w:p w14:paraId="1536DE2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LUB oprogramowanie obsługujące pule połączeń z aplikacji do bazy danych działające na innych maszynach i automatycznie przekierowujące ruch zapisowy bazy danych do bazy danych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Oprogramowanie zarządzające pulą połączeń powinno ponadto umożliwiać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klastrowanie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celu zapewnienia wysokiej dostępności puli oraz przekierowywanie ruchu odczytowego do replik bazy danych.</w:t>
            </w:r>
          </w:p>
        </w:tc>
      </w:tr>
      <w:tr w:rsidR="000B32F2" w:rsidRPr="000B32F2" w14:paraId="2D63C41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FFC4" w14:textId="77777777" w:rsidR="000B32F2" w:rsidRPr="000B32F2" w:rsidRDefault="000B32F2" w:rsidP="000B32F2">
            <w:pPr>
              <w:spacing w:line="303" w:lineRule="auto"/>
              <w:ind w:left="152" w:right="37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Wysoka dostępność - elastyczność konfiguracji klastra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EE5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Klaster bazy danych musi zapewnić możliwość dodawania kolejnych i usuwania serwerów baz danych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standby</w:t>
            </w:r>
            <w:proofErr w:type="spellEnd"/>
          </w:p>
        </w:tc>
      </w:tr>
      <w:tr w:rsidR="000B32F2" w:rsidRPr="000B32F2" w14:paraId="1EE5F653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5DFB" w14:textId="77777777" w:rsidR="000B32F2" w:rsidRPr="000B32F2" w:rsidRDefault="000B32F2" w:rsidP="000B32F2">
            <w:pPr>
              <w:spacing w:line="303" w:lineRule="auto"/>
              <w:ind w:left="152" w:right="37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Wysoka dostępność - automatyzacja operacji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5109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Klaster bazy danych musi zapewnić możliwość bezobsługowego przełączenia w sytuacji awaryjnej lub ręcznej zamiany ról pomiędzy bazą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jedną z baz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standby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poprzez zautomatyzowane czynności:</w:t>
            </w:r>
          </w:p>
          <w:p w14:paraId="5F6A7A7E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● Promocji jednej z baz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standby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roli bazy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</w:p>
          <w:p w14:paraId="12EA24C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● Rekonfiguracji replikacji z wypromowanej bazy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pozostałych baz danych działających w trybie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standby</w:t>
            </w:r>
            <w:proofErr w:type="spellEnd"/>
          </w:p>
          <w:p w14:paraId="3B9149B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● Rekonfiguracji połączeń aplikacyjnych odzwierciedlających zmienioną konfigurację klastra bazy danych</w:t>
            </w:r>
          </w:p>
          <w:p w14:paraId="4FC6F65C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B32F2" w:rsidRPr="000B32F2" w14:paraId="2EC55765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8BE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Wysoka dostępność - wymagania </w:t>
            </w:r>
          </w:p>
          <w:p w14:paraId="432E9D71" w14:textId="77777777" w:rsidR="000B32F2" w:rsidRPr="000B32F2" w:rsidRDefault="000B32F2" w:rsidP="000B32F2">
            <w:pPr>
              <w:spacing w:line="303" w:lineRule="auto"/>
              <w:ind w:left="152" w:right="36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dotyczące odległości geograficznej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DC61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rozproszone geograficznie ośrodki wysokiej dostępności. </w:t>
            </w:r>
          </w:p>
        </w:tc>
      </w:tr>
      <w:tr w:rsidR="000B32F2" w:rsidRPr="000B32F2" w14:paraId="4DEF0147" w14:textId="77777777" w:rsidTr="009A160B">
        <w:trPr>
          <w:trHeight w:val="94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695B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Heterogeniczna replikacja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112E" w14:textId="77777777" w:rsidR="000B32F2" w:rsidRPr="000B32F2" w:rsidRDefault="000B32F2" w:rsidP="000B32F2">
            <w:pPr>
              <w:spacing w:line="303" w:lineRule="auto"/>
              <w:ind w:left="4" w:right="50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bazy danych umożliwia replikację miedzy różnymi dostawcami oprogramowania baz danych w tym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Oracle,MSSQL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PostgreSQL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</w:p>
        </w:tc>
      </w:tr>
    </w:tbl>
    <w:p w14:paraId="6510EC77" w14:textId="77777777" w:rsidR="000B32F2" w:rsidRPr="000B32F2" w:rsidRDefault="000B32F2" w:rsidP="000B32F2">
      <w:pPr>
        <w:spacing w:line="303" w:lineRule="auto"/>
        <w:ind w:left="-1078" w:right="13" w:hanging="10"/>
        <w:jc w:val="both"/>
        <w:rPr>
          <w:color w:val="000000"/>
          <w:szCs w:val="22"/>
        </w:rPr>
      </w:pPr>
    </w:p>
    <w:tbl>
      <w:tblPr>
        <w:tblStyle w:val="Tabela-Siatka1"/>
        <w:tblW w:w="9393" w:type="dxa"/>
        <w:tblInd w:w="10" w:type="dxa"/>
        <w:tblCellMar>
          <w:top w:w="53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3205"/>
        <w:gridCol w:w="6188"/>
      </w:tblGrid>
      <w:tr w:rsidR="000B32F2" w:rsidRPr="000B32F2" w14:paraId="56C8A106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6BB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Narzędzia do integracji danych z natywnymi interfejsami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420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Obejmuje narzędzie do integracji i ekstrakcji danych na potrzeby hurtowni danych, oraz rozproszonego przetwarzania zapytań. </w:t>
            </w:r>
          </w:p>
        </w:tc>
      </w:tr>
      <w:tr w:rsidR="000B32F2" w:rsidRPr="00A652F2" w14:paraId="69F57ECC" w14:textId="77777777" w:rsidTr="009A160B">
        <w:trPr>
          <w:trHeight w:val="12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634E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Standardowe opcje połączeń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487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Obejmuje to łączność z Systemem Baz Danych (na przykład Open </w:t>
            </w:r>
          </w:p>
          <w:p w14:paraId="341D7A9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  <w:lang w:val="en-US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Database Connectivity [ODBC], Java Database Connectivity [JDBC], Web Services [WS], Object Linking and Embedding Database [OLEDB] i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inne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). </w:t>
            </w:r>
          </w:p>
        </w:tc>
      </w:tr>
      <w:tr w:rsidR="000B32F2" w:rsidRPr="000B32F2" w14:paraId="562AFD0D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46E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Obsługa danych zewnętrznych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E4BC" w14:textId="77777777" w:rsidR="000B32F2" w:rsidRPr="000B32F2" w:rsidRDefault="000B32F2" w:rsidP="000B32F2">
            <w:pPr>
              <w:spacing w:line="303" w:lineRule="auto"/>
              <w:ind w:left="152" w:right="4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Dostawca zapewnia narzędzia do zarządzania zewnętrznymi źródłami danych, które umożliwiają połączenie danych z systemów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Hadoop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NoSQL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</w:p>
        </w:tc>
      </w:tr>
      <w:tr w:rsidR="000B32F2" w:rsidRPr="000B32F2" w14:paraId="6F31D4C5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C61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Zapytania dotyczące wielu modeli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6A67" w14:textId="77777777" w:rsidR="000B32F2" w:rsidRPr="000B32F2" w:rsidRDefault="000B32F2" w:rsidP="000B32F2">
            <w:pPr>
              <w:spacing w:line="303" w:lineRule="auto"/>
              <w:ind w:left="152" w:right="4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zapewnia natywną obsługę języka SQL do wykonywania zapytań dotyczących wielu modeli danych i obiektów, w tym do wykonywania zapytań między nimi (łączenia). </w:t>
            </w:r>
          </w:p>
        </w:tc>
      </w:tr>
      <w:tr w:rsidR="000B32F2" w:rsidRPr="000B32F2" w14:paraId="2B366D83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C8439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Przełączanie awaryjne aplikacji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65E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może automatycznie kontynuować uruchomianie aplikacji po przełączeniu awaryjnym bez ręcznego restartu. </w:t>
            </w:r>
          </w:p>
        </w:tc>
      </w:tr>
      <w:tr w:rsidR="000B32F2" w:rsidRPr="000B32F2" w14:paraId="440BACAD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0F5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Reorganizacja bazy danych w trybie online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1A6E" w14:textId="77777777" w:rsidR="000B32F2" w:rsidRPr="000B32F2" w:rsidRDefault="000B32F2" w:rsidP="000B32F2">
            <w:pPr>
              <w:spacing w:line="303" w:lineRule="auto"/>
              <w:ind w:left="152" w:right="47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 danych obsługuje możliwość reorganizacji baz danych w trybie online bez konieczności zamykania systemu. </w:t>
            </w:r>
          </w:p>
        </w:tc>
      </w:tr>
      <w:tr w:rsidR="000B32F2" w:rsidRPr="000B32F2" w14:paraId="7E8DE133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43F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Reorganizacja indeksów w trybie online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096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baz danych obsługuje możliwość reorganizacji indeksów w trybie online bez konieczności zamykania systemu. </w:t>
            </w:r>
          </w:p>
        </w:tc>
      </w:tr>
      <w:tr w:rsidR="000B32F2" w:rsidRPr="000B32F2" w14:paraId="017C433A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5C7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Zmiany konfiguracji w trybie online na wielu instancjach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DDB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Można wprowadzać zmiany konfiguracji w wielu instancjach tej samej bazy danych, bez zatrzymywania Systemu bazy danych. </w:t>
            </w:r>
          </w:p>
        </w:tc>
      </w:tr>
      <w:tr w:rsidR="000B32F2" w:rsidRPr="000B32F2" w14:paraId="4CE15A8B" w14:textId="77777777" w:rsidTr="009A160B">
        <w:trPr>
          <w:trHeight w:val="679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B7F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Opcje dodatkowego środowiska DR (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Disaster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Recovery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CC1B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środowisko odtwarzania po awarii.  </w:t>
            </w:r>
          </w:p>
        </w:tc>
      </w:tr>
      <w:tr w:rsidR="000B32F2" w:rsidRPr="000B32F2" w14:paraId="1E41F9AB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77C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Dublowanie lub replikacja bazy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F377" w14:textId="77777777" w:rsidR="000B32F2" w:rsidRPr="000B32F2" w:rsidRDefault="000B32F2" w:rsidP="000B32F2">
            <w:pPr>
              <w:spacing w:line="303" w:lineRule="auto"/>
              <w:ind w:left="152" w:right="13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bazy danych posiada zdolność do tworzenia zduplikowanych kopii baz danych w środowisku "hot" DR (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Disaster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Recovery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.  </w:t>
            </w:r>
          </w:p>
        </w:tc>
      </w:tr>
      <w:tr w:rsidR="000B32F2" w:rsidRPr="000B32F2" w14:paraId="3CDA23AF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DC00" w14:textId="77777777" w:rsidR="000B32F2" w:rsidRPr="000B32F2" w:rsidRDefault="000B32F2" w:rsidP="000B32F2">
            <w:pPr>
              <w:spacing w:line="303" w:lineRule="auto"/>
              <w:ind w:left="152" w:right="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Aktywna hot kopia bazy danych w środowisku DR (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Disaster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Recovery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E5C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bazy danych posiada zdolność dla użytkownika do korzystania ze środowiska DR (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Disaster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Recovery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na potrzeby aplikacji.  </w:t>
            </w:r>
          </w:p>
        </w:tc>
      </w:tr>
      <w:tr w:rsidR="000B32F2" w:rsidRPr="000B32F2" w14:paraId="7B70B76A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7D31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Przeniesienie bazy danych online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872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migrację live baz danych na różne serwery i centra danych. </w:t>
            </w:r>
          </w:p>
        </w:tc>
      </w:tr>
    </w:tbl>
    <w:p w14:paraId="2E395731" w14:textId="77777777" w:rsidR="000B32F2" w:rsidRPr="000B32F2" w:rsidRDefault="000B32F2" w:rsidP="000B32F2">
      <w:pPr>
        <w:spacing w:line="303" w:lineRule="auto"/>
        <w:ind w:left="-1078" w:right="15" w:hanging="10"/>
        <w:jc w:val="both"/>
        <w:rPr>
          <w:color w:val="000000"/>
          <w:szCs w:val="22"/>
        </w:rPr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0B32F2" w:rsidRPr="000B32F2" w14:paraId="3494FE84" w14:textId="77777777" w:rsidTr="009A160B">
        <w:trPr>
          <w:trHeight w:val="136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CC0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Wsparcie systemów operacyjnych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A8248" w14:textId="77777777" w:rsidR="000B32F2" w:rsidRPr="000B32F2" w:rsidRDefault="000B32F2" w:rsidP="000B32F2">
            <w:pPr>
              <w:spacing w:line="303" w:lineRule="auto"/>
              <w:ind w:left="4" w:right="4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bazy danych oraz poszczególne narzędzia do zarządzania klastrami wysokiej dostępności, replikacją i backupem posiadają certyfikację na systemy operacyjne Red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Hat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 Enterprise Linux SUSE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linux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Ubuntu</w:t>
            </w:r>
            <w:proofErr w:type="spellEnd"/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proofErr w:type="spellStart"/>
            <w:r w:rsidRPr="000B32F2">
              <w:rPr>
                <w:rFonts w:ascii="Calibri" w:eastAsia="Calibri" w:hAnsi="Calibri" w:cs="Calibri"/>
                <w:sz w:val="22"/>
                <w:szCs w:val="22"/>
              </w:rPr>
              <w:t>Debian</w:t>
            </w:r>
            <w:proofErr w:type="spellEnd"/>
          </w:p>
        </w:tc>
      </w:tr>
      <w:tr w:rsidR="000B32F2" w:rsidRPr="000B32F2" w14:paraId="1D582B79" w14:textId="77777777" w:rsidTr="009A160B">
        <w:trPr>
          <w:trHeight w:val="40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2F4D94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Administracja i zarządzanie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63F8183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3DCAEC17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933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Narzędzia do tworzenia kopii zapasowych i ich odzyskiwania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2D8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B05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bazy danych zawiera narzędzia do tworzenia przyrostowych kopii zapasowych i ich odzyskiwania. Powinna istnieć możliwość bieżącego przesyłania dzienników transakcyjnych z bazy danych do środowiska utrzymywania kopii zapasowych, automatyczne ich katalogowanie oraz wykorzystanie w scenariuszach odtwarzania. Ponadto powinna istnieć możliwość deklaratywnego zarządzania retencją kopii zapasowych</w:t>
            </w:r>
          </w:p>
        </w:tc>
      </w:tr>
      <w:tr w:rsidR="000B32F2" w:rsidRPr="000B32F2" w14:paraId="71D0AE50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FD1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Narzędzia firm trzecich do tworzenia kopi zapasowych  i ich odzyskiwania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CAF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jest wspierany przez produkty do tworzenia kopii zapasowych i ich odzyskiwania firmy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Commvault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używanego przez zamawiającego.</w:t>
            </w:r>
          </w:p>
        </w:tc>
      </w:tr>
      <w:tr w:rsidR="000B32F2" w:rsidRPr="000B32F2" w14:paraId="08D59538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169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Tworzenie i kontrola silnika bazy danych 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9AE8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zawiera narzędzia do tworzenia i kontroli bazy danych. </w:t>
            </w:r>
          </w:p>
        </w:tc>
      </w:tr>
      <w:tr w:rsidR="000B32F2" w:rsidRPr="000B32F2" w14:paraId="78C391FE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3E2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Narzędzia administratora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B8C7" w14:textId="77777777" w:rsidR="000B32F2" w:rsidRPr="000B32F2" w:rsidRDefault="000B32F2" w:rsidP="000B32F2">
            <w:pPr>
              <w:spacing w:line="303" w:lineRule="auto"/>
              <w:ind w:left="4" w:right="40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zawiera narzędzia do monitorowania wyjątków działania i ostrzegania. </w:t>
            </w:r>
          </w:p>
        </w:tc>
      </w:tr>
      <w:tr w:rsidR="000B32F2" w:rsidRPr="000B32F2" w14:paraId="536835A6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A61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Otwarte i udokumentowane interfejsy dla oprogramowania firm trzecich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EB6A" w14:textId="77777777" w:rsidR="000B32F2" w:rsidRPr="000B32F2" w:rsidRDefault="000B32F2" w:rsidP="000B32F2">
            <w:pPr>
              <w:spacing w:line="303" w:lineRule="auto"/>
              <w:ind w:left="4" w:right="50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ma udokumentowane otwarte interfejsy, z których mogą korzystać zewnętrzni dostawcy narzędzi dla administratorów baz danych. </w:t>
            </w:r>
          </w:p>
        </w:tc>
      </w:tr>
      <w:tr w:rsidR="000B32F2" w:rsidRPr="000B32F2" w14:paraId="3547A9D6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00B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Zautomatyzowane narzędzia do zarządzania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428C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Dodatkowe wbudowanie narzędzie umożliwia automatyzowanie normalnych, codziennych operacji administracyjnych. </w:t>
            </w:r>
          </w:p>
        </w:tc>
      </w:tr>
      <w:tr w:rsidR="000B32F2" w:rsidRPr="000B32F2" w14:paraId="64EEF955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3A5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Narzędzie do definicji danych i kontroli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7C3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narzędzie do ręcznego wprowadzania poleceń DDL i DCL (wiersz poleceń). </w:t>
            </w:r>
          </w:p>
        </w:tc>
      </w:tr>
      <w:tr w:rsidR="000B32F2" w:rsidRPr="000B32F2" w14:paraId="32E55BBC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2A4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Narzędzie do definicji danych i kontroli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2EC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graficzne narzędzia do automatyzacji zadań DDL i DML. </w:t>
            </w:r>
          </w:p>
        </w:tc>
      </w:tr>
      <w:tr w:rsidR="000B32F2" w:rsidRPr="000B32F2" w14:paraId="2D6C902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08E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Narzędzie do aktualizacji wersji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2678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narzędzia do automatyzacji procesu aktualizacji bazy danych do nowych wersji.  </w:t>
            </w:r>
          </w:p>
        </w:tc>
      </w:tr>
      <w:tr w:rsidR="000B32F2" w:rsidRPr="000B32F2" w14:paraId="31DBA0A9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EC3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Wgrywanie poprawek bez zatrzymywania serwera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8421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umożliwia instalację poprawek bazy danych bez zatrzymywania serwera bazy danych. </w:t>
            </w:r>
          </w:p>
        </w:tc>
      </w:tr>
      <w:tr w:rsidR="000B32F2" w:rsidRPr="000B32F2" w14:paraId="2D0F4664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2F7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Wirtualizacja: software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hypervisors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9BD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wspiera produkty wirtualizacji programowej takie jak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VMware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Hyper-V, KVM, kontenery</w:t>
            </w:r>
          </w:p>
        </w:tc>
      </w:tr>
    </w:tbl>
    <w:p w14:paraId="3E0C3D46" w14:textId="77777777" w:rsidR="000B32F2" w:rsidRPr="000B32F2" w:rsidRDefault="000B32F2" w:rsidP="000B32F2">
      <w:pPr>
        <w:spacing w:line="303" w:lineRule="auto"/>
        <w:ind w:left="-1078" w:right="15" w:hanging="10"/>
        <w:jc w:val="both"/>
        <w:rPr>
          <w:color w:val="000000"/>
          <w:szCs w:val="22"/>
        </w:rPr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46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0B32F2" w:rsidRPr="000B32F2" w14:paraId="25B055D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7833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Wirtualizacja: licencje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C3B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ma ograniczeń licencyjnych podczas używania systemu bazy danych z wirtualizacją. </w:t>
            </w:r>
          </w:p>
        </w:tc>
      </w:tr>
      <w:tr w:rsidR="000B32F2" w:rsidRPr="000B32F2" w14:paraId="2896E284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BCB9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kontenerów i orkiestracji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034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wspiera zewnętrzne platformy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konteneryzacyjne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oraz orkiestrację, takie jak Docker i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Kubernetes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0B32F2" w:rsidRPr="000B32F2" w14:paraId="6D58242E" w14:textId="77777777" w:rsidTr="009A160B">
        <w:trPr>
          <w:trHeight w:val="40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7C9C5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Wsparcie aplikacji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A85E2BD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24F31F3C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E967" w14:textId="77777777" w:rsidR="000B32F2" w:rsidRPr="000B32F2" w:rsidRDefault="000B32F2" w:rsidP="000B32F2">
            <w:pPr>
              <w:spacing w:line="303" w:lineRule="auto"/>
              <w:ind w:left="152" w:right="10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Wsparcie języków programowania 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F57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wsparcie dla języków programowania: J2EE, .NET, Node.js, Go,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Ruby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B32F2" w:rsidRPr="000B32F2" w14:paraId="001A2402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0E3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ODBC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865B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Istnieje interfejs ODBC do Systemu Bazy Danych. </w:t>
            </w:r>
          </w:p>
        </w:tc>
      </w:tr>
      <w:tr w:rsidR="000B32F2" w:rsidRPr="000B32F2" w14:paraId="3C58FDCF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172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JDBC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FB8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Istnieje interfejs JDBC do Systemu Bazy Danych </w:t>
            </w:r>
          </w:p>
        </w:tc>
      </w:tr>
      <w:tr w:rsidR="000B32F2" w:rsidRPr="000B32F2" w14:paraId="00FD0BD7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D5B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 SQL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91A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umożliwia uruchomienie aplikacji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bazydanych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posługujących się dialektem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PostgreSQL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wersji 13 lub wyżej</w:t>
            </w:r>
          </w:p>
        </w:tc>
      </w:tr>
      <w:tr w:rsidR="000B32F2" w:rsidRPr="000B32F2" w14:paraId="1C67D082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EBD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Wycofywanie i restart transakcji 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059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wycofanie transakcji. </w:t>
            </w:r>
          </w:p>
        </w:tc>
      </w:tr>
      <w:tr w:rsidR="000B32F2" w:rsidRPr="000B32F2" w14:paraId="200F4A6E" w14:textId="77777777" w:rsidTr="009A160B">
        <w:trPr>
          <w:trHeight w:val="40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C82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Kontrola i wsparcie transakcji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00C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instrukcje kontroli transakcji. </w:t>
            </w:r>
          </w:p>
        </w:tc>
      </w:tr>
      <w:tr w:rsidR="000B32F2" w:rsidRPr="000B32F2" w14:paraId="60439FDB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0EA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Triggers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(wyzwalacze zdarzeń)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6C2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wyzwalacze zdarzeń. </w:t>
            </w:r>
          </w:p>
        </w:tc>
      </w:tr>
      <w:tr w:rsidR="000B32F2" w:rsidRPr="000B32F2" w14:paraId="1D2DAE28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7B4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Procedury składowane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7A7B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format SQL w procedurach składowanych. </w:t>
            </w:r>
          </w:p>
        </w:tc>
      </w:tr>
      <w:tr w:rsidR="000B32F2" w:rsidRPr="000B32F2" w14:paraId="0D56056C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F67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Embedded 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2D71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wspiera Embedded C. </w:t>
            </w:r>
          </w:p>
        </w:tc>
      </w:tr>
      <w:tr w:rsidR="000B32F2" w:rsidRPr="000B32F2" w14:paraId="1CFAF801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AAA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Rozszerzenie SQL o procedury składowane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4E6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rozszerzenia SQL dla procedur składowanych.  </w:t>
            </w:r>
          </w:p>
        </w:tc>
      </w:tr>
      <w:tr w:rsidR="000B32F2" w:rsidRPr="000B32F2" w14:paraId="0D6C5CD2" w14:textId="77777777" w:rsidTr="009A160B">
        <w:trPr>
          <w:trHeight w:val="68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059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Procedury składowane w języku Java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74A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standardowo obsługuje proceduralny  język Java programowania z obsługą wyjątków procedur składowanych oraz wyzwalaczy. Ponadto instalacja standardowa pozwala na dodanie języków Perl,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Phyton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Tcl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tworzenia procedur składowanych. </w:t>
            </w:r>
          </w:p>
        </w:tc>
      </w:tr>
      <w:tr w:rsidR="000B32F2" w:rsidRPr="000B32F2" w14:paraId="2D1B263D" w14:textId="77777777" w:rsidTr="009A160B">
        <w:trPr>
          <w:trHeight w:val="402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131A268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Integralność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8303983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47AA822C" w14:textId="77777777" w:rsidTr="009A160B">
        <w:trPr>
          <w:trHeight w:val="41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CF3A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Więzy integralności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881D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więzy integralności. </w:t>
            </w:r>
          </w:p>
        </w:tc>
      </w:tr>
      <w:tr w:rsidR="000B32F2" w:rsidRPr="000B32F2" w14:paraId="18F40E22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0B05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Dziedziczenie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079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dziedziczenie z jednego obiektu do drugiego. </w:t>
            </w:r>
          </w:p>
        </w:tc>
      </w:tr>
      <w:tr w:rsidR="000B32F2" w:rsidRPr="000B32F2" w14:paraId="267AB40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EFAB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Integralność jednostki i domeny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A8C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narzędzia zapewniające integralność obiektów w bazie danych. </w:t>
            </w:r>
          </w:p>
        </w:tc>
      </w:tr>
      <w:tr w:rsidR="000B32F2" w:rsidRPr="000B32F2" w14:paraId="42717B35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480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Transakcje paradygmatu ACID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4749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natywnie obsługuje transakcje ACID. </w:t>
            </w:r>
          </w:p>
        </w:tc>
      </w:tr>
      <w:tr w:rsidR="000B32F2" w:rsidRPr="000B32F2" w14:paraId="4ADFAFA2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893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Regulowana konsystencja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624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ostateczne, elastyczne lub modyfikowalne modele spójności Read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Commmitted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Repeatable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Read oraz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Serializable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0B32F2" w:rsidRPr="000B32F2" w14:paraId="0FC76854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A708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Integralność nierelacyjna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94D3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istnieją ograniczenia integralności dotyczące nierelacyjnych typów danych (JSONB, XML itp.) przechowywanych w schemacie bazy danych. </w:t>
            </w:r>
          </w:p>
        </w:tc>
      </w:tr>
      <w:tr w:rsidR="000B32F2" w:rsidRPr="000B32F2" w14:paraId="46488727" w14:textId="77777777" w:rsidTr="009A160B">
        <w:trPr>
          <w:trHeight w:val="68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2AD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Wykrywanie zakleszczeń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B640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powinien pozwalań na automatyczne wykrywanie i sygnalizowanie zakleszczeń</w:t>
            </w:r>
          </w:p>
        </w:tc>
      </w:tr>
      <w:tr w:rsidR="000B32F2" w:rsidRPr="000B32F2" w14:paraId="3F36F463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775C8B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Wydajność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CA1333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33D62D43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5C4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Optymalizacja zapytań (koszt)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A8E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optymalizator oparty na kosztach. </w:t>
            </w:r>
          </w:p>
        </w:tc>
      </w:tr>
    </w:tbl>
    <w:p w14:paraId="3A933589" w14:textId="77777777" w:rsidR="000B32F2" w:rsidRPr="000B32F2" w:rsidRDefault="000B32F2" w:rsidP="000B32F2">
      <w:pPr>
        <w:spacing w:line="303" w:lineRule="auto"/>
        <w:ind w:left="-1078" w:right="13" w:hanging="10"/>
        <w:jc w:val="both"/>
        <w:rPr>
          <w:color w:val="000000"/>
          <w:szCs w:val="22"/>
        </w:rPr>
      </w:pPr>
    </w:p>
    <w:tbl>
      <w:tblPr>
        <w:tblStyle w:val="Tabela-Siatka1"/>
        <w:tblW w:w="9393" w:type="dxa"/>
        <w:tblInd w:w="10" w:type="dxa"/>
        <w:tblCellMar>
          <w:top w:w="53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3205"/>
        <w:gridCol w:w="6188"/>
      </w:tblGrid>
      <w:tr w:rsidR="000B32F2" w:rsidRPr="000B32F2" w14:paraId="475B68D1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AC9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Optymalizacja zapytań (statystyki kosztów)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5B2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Statystyki są zbierane automatycznie. </w:t>
            </w:r>
          </w:p>
        </w:tc>
      </w:tr>
      <w:tr w:rsidR="000B32F2" w:rsidRPr="000B32F2" w14:paraId="6C8AD1FB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F39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Optymalizacja zapytań (poprawki wersji i aktualizacje)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B82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Producent systemu bazy danych dostarcza określone funkcje, instrukcje, ostrzeżenia i najlepsze praktyki, gdy poprawki i aktualizacje zmieniają optymalizator zapytań. </w:t>
            </w:r>
          </w:p>
        </w:tc>
      </w:tr>
      <w:tr w:rsidR="000B32F2" w:rsidRPr="000B32F2" w14:paraId="2C42CB63" w14:textId="77777777" w:rsidTr="009A160B">
        <w:trPr>
          <w:trHeight w:val="40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7E06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Technologia indeksowania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7F2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wiele typów indeksów </w:t>
            </w:r>
          </w:p>
        </w:tc>
      </w:tr>
      <w:tr w:rsidR="000B32F2" w:rsidRPr="000B32F2" w14:paraId="7B3591E3" w14:textId="77777777" w:rsidTr="009A160B">
        <w:trPr>
          <w:trHeight w:val="194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169D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Partycjonowanie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EF0C" w14:textId="77777777" w:rsidR="000B32F2" w:rsidRPr="000B32F2" w:rsidRDefault="000B32F2" w:rsidP="000B32F2">
            <w:pPr>
              <w:spacing w:after="39" w:line="245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partycjonowanie danych w tabelach. Partycjonowanie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może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być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realizowane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z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użyciem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klucza partycjonowania będącego: </w:t>
            </w:r>
          </w:p>
          <w:p w14:paraId="2ECD55D5" w14:textId="77777777" w:rsidR="000B32F2" w:rsidRPr="000B32F2" w:rsidRDefault="000B32F2" w:rsidP="000B32F2">
            <w:pPr>
              <w:numPr>
                <w:ilvl w:val="0"/>
                <w:numId w:val="15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zakresem, </w:t>
            </w:r>
          </w:p>
          <w:p w14:paraId="1662A83E" w14:textId="77777777" w:rsidR="000B32F2" w:rsidRPr="000B32F2" w:rsidRDefault="000B32F2" w:rsidP="000B32F2">
            <w:pPr>
              <w:numPr>
                <w:ilvl w:val="0"/>
                <w:numId w:val="15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listą, </w:t>
            </w:r>
          </w:p>
          <w:p w14:paraId="61DD2086" w14:textId="77777777" w:rsidR="000B32F2" w:rsidRPr="000B32F2" w:rsidRDefault="000B32F2" w:rsidP="000B32F2">
            <w:pPr>
              <w:numPr>
                <w:ilvl w:val="0"/>
                <w:numId w:val="15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funkcją haszującą, </w:t>
            </w:r>
          </w:p>
        </w:tc>
      </w:tr>
      <w:tr w:rsidR="000B32F2" w:rsidRPr="000B32F2" w14:paraId="5D9CE531" w14:textId="77777777" w:rsidTr="009A160B">
        <w:trPr>
          <w:trHeight w:val="410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B02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Indeksy podzielone na partycje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417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indeksy partycjonowane. </w:t>
            </w:r>
          </w:p>
        </w:tc>
      </w:tr>
      <w:tr w:rsidR="000B32F2" w:rsidRPr="000B32F2" w14:paraId="44C67556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71E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Parametry strojenia ręcznego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64D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Administratorzy baz danych mogą dostroić bazę danych poprzez bezpośrednią zmianę parametrów. </w:t>
            </w:r>
          </w:p>
        </w:tc>
      </w:tr>
      <w:tr w:rsidR="000B32F2" w:rsidRPr="000B32F2" w14:paraId="6DDA07BF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322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Doradca ds. automatycznego strojenia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71D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Dostarczone są narzędzia do analizy i doradzania w zakresie zmian parametrów. </w:t>
            </w:r>
          </w:p>
        </w:tc>
      </w:tr>
      <w:tr w:rsidR="000B32F2" w:rsidRPr="000B32F2" w14:paraId="7C422C30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09C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Zautomatyzowane narzędzia do strojenia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AD4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zawiera możliwość automatycznego, ciągłego dostrajania bazy danych bez interwencji Administratora. </w:t>
            </w:r>
          </w:p>
        </w:tc>
      </w:tr>
      <w:tr w:rsidR="000B32F2" w:rsidRPr="000B32F2" w14:paraId="0E618505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39A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Zarządzanie i kontrola bufora pamięci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A9A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umożliwia monitorowanie,  zarządzanie buforem i  zmianę parametrów bufora pamięci. </w:t>
            </w:r>
          </w:p>
        </w:tc>
      </w:tr>
      <w:tr w:rsidR="000B32F2" w:rsidRPr="000B32F2" w14:paraId="2DBB4E3C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8CA2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Kontrola pamięci klastra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78D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dopuszcza współużytkowane bufory, zmniejszając w ten sposób obciążenie wejścia / wyjścia (I/O) bazy danych. </w:t>
            </w:r>
          </w:p>
        </w:tc>
      </w:tr>
      <w:tr w:rsidR="000B32F2" w:rsidRPr="000B32F2" w14:paraId="6B798F07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518F6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Kontrola pamięci masowej do umieszczania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3B9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pozwala na umieszczanie danych w określonych lokalizacjach przechowywania. Obejmuje to również usuwanie danych pod kątem wydajności. </w:t>
            </w:r>
          </w:p>
        </w:tc>
      </w:tr>
      <w:tr w:rsidR="000B32F2" w:rsidRPr="000B32F2" w14:paraId="0D24C6BC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0FFD2" w14:textId="77777777" w:rsidR="000B32F2" w:rsidRPr="000B32F2" w:rsidRDefault="000B32F2" w:rsidP="000B32F2">
            <w:pPr>
              <w:spacing w:line="303" w:lineRule="auto"/>
              <w:ind w:left="152" w:right="30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Równoległe wykonywanie zapytań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F3E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 celu zwiększenia wydajności System bazy danych umożliwia zrównoleglanie pojedynczych zapytań, aby działały na wielu procesorach w tym samym czasie. </w:t>
            </w:r>
          </w:p>
        </w:tc>
      </w:tr>
      <w:tr w:rsidR="000B32F2" w:rsidRPr="000B32F2" w14:paraId="3A013FBC" w14:textId="77777777" w:rsidTr="009A160B">
        <w:trPr>
          <w:trHeight w:val="679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8C288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Paralelizm instrukcji bazy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CA0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używa wewnętrznego paralelizmu instrukcji w wielu nowoczesnych układach procesora. </w:t>
            </w:r>
          </w:p>
        </w:tc>
      </w:tr>
    </w:tbl>
    <w:p w14:paraId="5CF6F20D" w14:textId="77777777" w:rsidR="000B32F2" w:rsidRPr="000B32F2" w:rsidRDefault="000B32F2" w:rsidP="000B32F2">
      <w:pPr>
        <w:spacing w:line="303" w:lineRule="auto"/>
        <w:ind w:left="-1078" w:right="15" w:hanging="10"/>
        <w:jc w:val="both"/>
        <w:rPr>
          <w:color w:val="000000"/>
          <w:szCs w:val="22"/>
        </w:rPr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0B32F2" w:rsidRPr="000B32F2" w14:paraId="61756969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C60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Równoległe wykonywanie narzędzi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A959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Narzędzia takie jak tworzenie kopii zapasowych i odzyskiwanie danych, odzyskiwanie wolnego miejsca i odbudowywanie indeksu mogą być uruchamiane równolegle. </w:t>
            </w:r>
          </w:p>
        </w:tc>
      </w:tr>
      <w:tr w:rsidR="000B32F2" w:rsidRPr="000B32F2" w14:paraId="18E85B69" w14:textId="77777777" w:rsidTr="009A160B">
        <w:trPr>
          <w:trHeight w:val="672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059D62E" w14:textId="77777777" w:rsidR="000B32F2" w:rsidRPr="000B32F2" w:rsidRDefault="000B32F2" w:rsidP="000B32F2">
            <w:pPr>
              <w:spacing w:line="303" w:lineRule="auto"/>
              <w:ind w:left="152" w:right="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Możliwości relacyjne, zgodność ze standardami i rozszerzalność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417AA3BD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1F5E4D1B" w14:textId="77777777" w:rsidTr="009A160B">
        <w:trPr>
          <w:trHeight w:val="141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7852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Typy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802F" w14:textId="77777777" w:rsidR="000B32F2" w:rsidRPr="000B32F2" w:rsidRDefault="000B32F2" w:rsidP="000B32F2">
            <w:pPr>
              <w:spacing w:after="24"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Dostępne są typy danych umożliwiające: </w:t>
            </w:r>
          </w:p>
          <w:p w14:paraId="7EC15733" w14:textId="77777777" w:rsidR="000B32F2" w:rsidRPr="000B32F2" w:rsidRDefault="000B32F2" w:rsidP="000B32F2">
            <w:pPr>
              <w:numPr>
                <w:ilvl w:val="0"/>
                <w:numId w:val="16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przechowywanie długich danych tekstowych, </w:t>
            </w:r>
          </w:p>
          <w:p w14:paraId="5A3B2E58" w14:textId="77777777" w:rsidR="000B32F2" w:rsidRPr="000B32F2" w:rsidRDefault="000B32F2" w:rsidP="000B32F2">
            <w:pPr>
              <w:numPr>
                <w:ilvl w:val="0"/>
                <w:numId w:val="16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liczb całkowitych oraz zmiennoprzecinkowych, </w:t>
            </w:r>
          </w:p>
          <w:p w14:paraId="2B6DD8AF" w14:textId="77777777" w:rsidR="000B32F2" w:rsidRPr="000B32F2" w:rsidRDefault="000B32F2" w:rsidP="000B32F2">
            <w:pPr>
              <w:numPr>
                <w:ilvl w:val="0"/>
                <w:numId w:val="16"/>
              </w:numPr>
              <w:spacing w:after="1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dat, </w:t>
            </w:r>
          </w:p>
          <w:p w14:paraId="301E8EF0" w14:textId="77777777" w:rsidR="000B32F2" w:rsidRPr="000B32F2" w:rsidRDefault="000B32F2" w:rsidP="000B32F2">
            <w:pPr>
              <w:numPr>
                <w:ilvl w:val="0"/>
                <w:numId w:val="16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timestamp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-ów wraz ze wskazaniem strefy czasowej. </w:t>
            </w:r>
          </w:p>
        </w:tc>
      </w:tr>
      <w:tr w:rsidR="000B32F2" w:rsidRPr="000B32F2" w14:paraId="7D2350A7" w14:textId="77777777" w:rsidTr="009A160B">
        <w:trPr>
          <w:trHeight w:val="40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0B5F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Zgodność z ANSI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17E3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standardowy ANSI SQL. </w:t>
            </w:r>
          </w:p>
        </w:tc>
      </w:tr>
      <w:tr w:rsidR="000B32F2" w:rsidRPr="000B32F2" w14:paraId="33AA226F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069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Zgodność interfejsu ODBC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76E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ODBC jako standardowy interfejs. </w:t>
            </w:r>
          </w:p>
        </w:tc>
      </w:tr>
      <w:tr w:rsidR="000B32F2" w:rsidRPr="000B32F2" w14:paraId="5F33DD7E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BDB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Zgodność interfejsu JDBC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C517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JDBC jako standardowy interfejs. </w:t>
            </w:r>
          </w:p>
        </w:tc>
      </w:tr>
      <w:tr w:rsidR="000B32F2" w:rsidRPr="000B32F2" w14:paraId="6C66DE63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185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Typy danych przestrzennych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CAB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natywne typy danych przestrzennych. </w:t>
            </w:r>
          </w:p>
        </w:tc>
      </w:tr>
      <w:tr w:rsidR="000B32F2" w:rsidRPr="000B32F2" w14:paraId="4AEC229E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E5FF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Przestrzenne rozszerzenia danych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7FF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zawiera natywną funkcjonalność SQL do obsługi typów danych przestrzennych.  </w:t>
            </w:r>
          </w:p>
        </w:tc>
      </w:tr>
      <w:tr w:rsidR="000B32F2" w:rsidRPr="000B32F2" w14:paraId="147D0F5D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DE1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Wsparcie dla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BLOBs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F843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duże obiekty binarne (BLOB). </w:t>
            </w:r>
          </w:p>
        </w:tc>
      </w:tr>
      <w:tr w:rsidR="000B32F2" w:rsidRPr="000B32F2" w14:paraId="2FDC4C68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214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Wsparcie dla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CLOBs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6701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duże obiekty znaków (CLOB). </w:t>
            </w:r>
          </w:p>
        </w:tc>
      </w:tr>
      <w:tr w:rsidR="000B32F2" w:rsidRPr="000B32F2" w14:paraId="7993304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10B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innych dużych obiektów (LOB)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A1BA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inne typy LOB dla plików multimedialnych. </w:t>
            </w:r>
          </w:p>
        </w:tc>
      </w:tr>
      <w:tr w:rsidR="000B32F2" w:rsidRPr="000B32F2" w14:paraId="772740D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FFB7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Multimodel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F999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wiele modeli danych lub obiektów natywnie w systemie plików bazy danych.  </w:t>
            </w:r>
          </w:p>
        </w:tc>
      </w:tr>
      <w:tr w:rsidR="000B32F2" w:rsidRPr="000B32F2" w14:paraId="70C3258A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654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formatu JSON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214B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Format JSON jest obsługiwany jako obiekt natywny. JSON może być wstawiany, aktualizowany i odpytywany jako w pełni kwalifikowany obiekt (atrybuty, listy / tablice itp.) </w:t>
            </w:r>
          </w:p>
        </w:tc>
      </w:tr>
      <w:tr w:rsidR="000B32F2" w:rsidRPr="000B32F2" w14:paraId="0847AF26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2389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formatu XML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F0C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XML w natywnej pamięci binarnej. </w:t>
            </w:r>
          </w:p>
        </w:tc>
      </w:tr>
      <w:tr w:rsidR="000B32F2" w:rsidRPr="000B32F2" w14:paraId="332399C1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FD8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Wspieranie fragmentów XML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EAC7" w14:textId="77777777" w:rsidR="000B32F2" w:rsidRPr="000B32F2" w:rsidRDefault="000B32F2" w:rsidP="000B32F2">
            <w:pPr>
              <w:spacing w:line="303" w:lineRule="auto"/>
              <w:ind w:left="4" w:right="14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ma wbudowaną funkcjonalność obsługującą fragmenty XML. </w:t>
            </w:r>
          </w:p>
        </w:tc>
      </w:tr>
      <w:tr w:rsidR="000B32F2" w:rsidRPr="000B32F2" w14:paraId="52DAFB30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E433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Obsługa plików multimedialnych, innych nierelacyjnych i innych niż XML plików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DD4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pozwala na bezpośrednie przechowywanie w bazie danych innych typów danych (takich jak audio, wideo, multimedia i dane biometryczne). </w:t>
            </w:r>
          </w:p>
        </w:tc>
      </w:tr>
      <w:tr w:rsidR="000B32F2" w:rsidRPr="000B32F2" w14:paraId="74B4CFC1" w14:textId="77777777" w:rsidTr="009A160B">
        <w:trPr>
          <w:trHeight w:val="1215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31F6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Bezpośrednie połączenie do bazy danych plików multimedialnych, nie relacyjnych i nie-XML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75D1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pozwala na bezpośrednie połączenie z bazą danych innych typów danych (takich jak audio, wideo, multimedialne i biometryczne) przechowywanych w plikach zewnętrznych. </w:t>
            </w:r>
          </w:p>
        </w:tc>
      </w:tr>
      <w:tr w:rsidR="000B32F2" w:rsidRPr="000B32F2" w14:paraId="5E72E9F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107B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Funkcje zdefiniowane przez użytkownika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C11C8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Można tworzyć funkcje zdefiniowane przez użytkownika. </w:t>
            </w:r>
          </w:p>
        </w:tc>
      </w:tr>
    </w:tbl>
    <w:p w14:paraId="798781EC" w14:textId="77777777" w:rsidR="000B32F2" w:rsidRPr="000B32F2" w:rsidRDefault="000B32F2" w:rsidP="000B32F2">
      <w:pPr>
        <w:spacing w:line="303" w:lineRule="auto"/>
        <w:ind w:left="-1078" w:right="15" w:hanging="10"/>
        <w:jc w:val="both"/>
        <w:rPr>
          <w:color w:val="000000"/>
          <w:szCs w:val="22"/>
        </w:rPr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0B32F2" w:rsidRPr="00A652F2" w14:paraId="376CC18E" w14:textId="77777777" w:rsidTr="009A160B">
        <w:trPr>
          <w:trHeight w:val="1961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033F8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Standardy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8709" w14:textId="77777777" w:rsidR="000B32F2" w:rsidRPr="000B32F2" w:rsidRDefault="000B32F2" w:rsidP="000B32F2">
            <w:pPr>
              <w:spacing w:after="24"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wspiera następujące standardy SQL:2003: </w:t>
            </w:r>
          </w:p>
          <w:p w14:paraId="2A174B39" w14:textId="77777777" w:rsidR="000B32F2" w:rsidRPr="000B32F2" w:rsidRDefault="000B32F2" w:rsidP="000B32F2">
            <w:pPr>
              <w:numPr>
                <w:ilvl w:val="0"/>
                <w:numId w:val="17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  <w:lang w:val="en-US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ISO/IEC 9075-1 Framework (SQL/Framework), </w:t>
            </w:r>
          </w:p>
          <w:p w14:paraId="5AAD9336" w14:textId="77777777" w:rsidR="000B32F2" w:rsidRPr="000B32F2" w:rsidRDefault="000B32F2" w:rsidP="000B32F2">
            <w:pPr>
              <w:numPr>
                <w:ilvl w:val="0"/>
                <w:numId w:val="17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  <w:lang w:val="en-US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ISO/IEC 9075-2 Foundation (SQL/Foundation), </w:t>
            </w:r>
          </w:p>
          <w:p w14:paraId="4FF55FB9" w14:textId="77777777" w:rsidR="000B32F2" w:rsidRPr="000B32F2" w:rsidRDefault="000B32F2" w:rsidP="000B32F2">
            <w:pPr>
              <w:numPr>
                <w:ilvl w:val="0"/>
                <w:numId w:val="17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  <w:lang w:val="en-US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ISO/IEC 9075-9 Management of External Data (SQL/MED), </w:t>
            </w:r>
          </w:p>
          <w:p w14:paraId="136625A2" w14:textId="77777777" w:rsidR="000B32F2" w:rsidRPr="000B32F2" w:rsidRDefault="000B32F2" w:rsidP="000B32F2">
            <w:pPr>
              <w:numPr>
                <w:ilvl w:val="0"/>
                <w:numId w:val="17"/>
              </w:numPr>
              <w:spacing w:after="46" w:line="303" w:lineRule="auto"/>
              <w:ind w:right="58" w:hanging="10"/>
              <w:jc w:val="both"/>
              <w:rPr>
                <w:color w:val="000000"/>
                <w:szCs w:val="22"/>
                <w:lang w:val="en-US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ISO/IEC 9075-11 Information and Definition Schemas (SQL/Schemata), </w:t>
            </w:r>
          </w:p>
          <w:p w14:paraId="50BE8121" w14:textId="77777777" w:rsidR="000B32F2" w:rsidRPr="000B32F2" w:rsidRDefault="000B32F2" w:rsidP="000B32F2">
            <w:pPr>
              <w:numPr>
                <w:ilvl w:val="0"/>
                <w:numId w:val="17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  <w:lang w:val="en-US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ISO/IEC 9075-14 XML-related specifications (SQL/XML). </w:t>
            </w:r>
          </w:p>
        </w:tc>
      </w:tr>
      <w:tr w:rsidR="000B32F2" w:rsidRPr="000B32F2" w14:paraId="264D8AA8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24A340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proofErr w:type="spellStart"/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NoSQL</w:t>
            </w:r>
            <w:proofErr w:type="spellEnd"/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i powiązane możliwości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3BA1F3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2D7F77EC" w14:textId="77777777" w:rsidTr="009A160B">
        <w:trPr>
          <w:trHeight w:val="94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0F8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Magazynowanie dokumentów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306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ma możliwości przechowywania dokumentów (JSON, XML itp.). Jest to natywna implementacja w rozszerzeniu modelu relacyjnego. </w:t>
            </w:r>
          </w:p>
        </w:tc>
      </w:tr>
      <w:tr w:rsidR="000B32F2" w:rsidRPr="000B32F2" w14:paraId="0FDC3915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5B6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Styl tabeli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0B09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funkcje w stylu tabeli. Jest to natywna implementacja. </w:t>
            </w:r>
          </w:p>
        </w:tc>
      </w:tr>
      <w:tr w:rsidR="000B32F2" w:rsidRPr="000B32F2" w14:paraId="7C6D3900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681D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Klucz wartość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08B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funkcje klucz-wartość. Jest to rozszerzenie modelu relacyjnego w odniesieniu do możliwości i ograniczeń. </w:t>
            </w:r>
          </w:p>
        </w:tc>
      </w:tr>
      <w:tr w:rsidR="000B32F2" w:rsidRPr="000B32F2" w14:paraId="30207B59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B8E1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Integracja z HDFS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373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pozyskiwanie danych z HDFS i eksportowanie danych do HDFS.  </w:t>
            </w:r>
          </w:p>
        </w:tc>
      </w:tr>
      <w:tr w:rsidR="000B32F2" w:rsidRPr="000B32F2" w14:paraId="2970B490" w14:textId="77777777" w:rsidTr="009A160B">
        <w:trPr>
          <w:trHeight w:val="41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F8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Integracja ze Spark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633B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Baza danych obsługuje integrację ze Spark. </w:t>
            </w:r>
          </w:p>
        </w:tc>
      </w:tr>
      <w:tr w:rsidR="000B32F2" w:rsidRPr="000B32F2" w14:paraId="3F6C9639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CBC1E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Skalowalność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ADA2FE8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4E357069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D25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Architektura skalowalna w pionie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027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środowisko skalowane w górę (SMP).  </w:t>
            </w:r>
          </w:p>
        </w:tc>
      </w:tr>
      <w:tr w:rsidR="000B32F2" w:rsidRPr="000B32F2" w14:paraId="3AA176B7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5C9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Partycjonowanie / fragmentowanie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BF2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służy do skalowania dużych baz danych przy użyciu standardowych partycji, takich jak zakres dat. Funkcja nie wiąże się z dodatkowymi kosztami. </w:t>
            </w:r>
          </w:p>
        </w:tc>
      </w:tr>
      <w:tr w:rsidR="000B32F2" w:rsidRPr="000B32F2" w14:paraId="091ABD0D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16C2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Szybkie ładowanie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E6D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Umożliwia masowe ładowanie danych do bazy danych.  </w:t>
            </w:r>
          </w:p>
        </w:tc>
      </w:tr>
      <w:tr w:rsidR="000B32F2" w:rsidRPr="000B32F2" w14:paraId="22D42B1A" w14:textId="77777777" w:rsidTr="009A160B">
        <w:trPr>
          <w:trHeight w:val="163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4C8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Ograniczenia dotyczące tabel i innych obiektów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ADDC" w14:textId="77777777" w:rsidR="000B32F2" w:rsidRPr="000B32F2" w:rsidRDefault="000B32F2" w:rsidP="000B32F2">
            <w:pPr>
              <w:spacing w:after="3" w:line="237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posiada następujące parametry pojemnościowe: </w:t>
            </w:r>
          </w:p>
          <w:p w14:paraId="3A5C7EDB" w14:textId="77777777" w:rsidR="000B32F2" w:rsidRPr="000B32F2" w:rsidRDefault="000B32F2" w:rsidP="000B32F2">
            <w:pPr>
              <w:numPr>
                <w:ilvl w:val="0"/>
                <w:numId w:val="18"/>
              </w:numPr>
              <w:spacing w:after="15" w:line="259" w:lineRule="auto"/>
              <w:ind w:left="122" w:right="58" w:hanging="118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rozmiar tabeli: min. 32TB </w:t>
            </w:r>
          </w:p>
          <w:p w14:paraId="097B584D" w14:textId="77777777" w:rsidR="000B32F2" w:rsidRPr="000B32F2" w:rsidRDefault="000B32F2" w:rsidP="000B32F2">
            <w:pPr>
              <w:numPr>
                <w:ilvl w:val="0"/>
                <w:numId w:val="18"/>
              </w:numPr>
              <w:spacing w:after="15" w:line="259" w:lineRule="auto"/>
              <w:ind w:left="122" w:right="58" w:hanging="118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rozmiar wiersza: min. 1.6TB </w:t>
            </w:r>
          </w:p>
          <w:p w14:paraId="5BF74A0D" w14:textId="77777777" w:rsidR="000B32F2" w:rsidRPr="000B32F2" w:rsidRDefault="000B32F2" w:rsidP="000B32F2">
            <w:pPr>
              <w:numPr>
                <w:ilvl w:val="0"/>
                <w:numId w:val="18"/>
              </w:numPr>
              <w:spacing w:after="15" w:line="259" w:lineRule="auto"/>
              <w:ind w:left="122" w:right="58" w:hanging="118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rozmiar pola: min. 1GB </w:t>
            </w:r>
          </w:p>
          <w:p w14:paraId="38E0CAE3" w14:textId="77777777" w:rsidR="000B32F2" w:rsidRPr="000B32F2" w:rsidRDefault="000B32F2" w:rsidP="000B32F2">
            <w:pPr>
              <w:numPr>
                <w:ilvl w:val="0"/>
                <w:numId w:val="18"/>
              </w:numPr>
              <w:spacing w:after="15" w:line="259" w:lineRule="auto"/>
              <w:ind w:left="122" w:right="58" w:hanging="118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ilość wierszy w tabeli: bez limitu </w:t>
            </w:r>
          </w:p>
        </w:tc>
      </w:tr>
    </w:tbl>
    <w:p w14:paraId="4086469B" w14:textId="77777777" w:rsidR="000B32F2" w:rsidRPr="000B32F2" w:rsidRDefault="000B32F2" w:rsidP="000B32F2">
      <w:pPr>
        <w:spacing w:line="303" w:lineRule="auto"/>
        <w:ind w:left="-1078" w:right="15" w:hanging="10"/>
        <w:jc w:val="both"/>
        <w:rPr>
          <w:color w:val="000000"/>
          <w:szCs w:val="22"/>
        </w:rPr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0B32F2" w:rsidRPr="000B32F2" w14:paraId="226E1B07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A4F910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Bezpieczeństwo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97CC3BD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6329ACD8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AE9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Uwierzytelnianie użytkownika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AE0A" w14:textId="77777777" w:rsidR="000B32F2" w:rsidRPr="000B32F2" w:rsidRDefault="000B32F2" w:rsidP="000B32F2">
            <w:pPr>
              <w:spacing w:line="303" w:lineRule="auto"/>
              <w:ind w:left="4" w:right="32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bazy danych obsługuje formę uwierzytelniania użytkownika. </w:t>
            </w:r>
          </w:p>
        </w:tc>
      </w:tr>
      <w:tr w:rsidR="000B32F2" w:rsidRPr="000B32F2" w14:paraId="25EFCA5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B402" w14:textId="77777777" w:rsidR="000B32F2" w:rsidRPr="000B32F2" w:rsidRDefault="000B32F2" w:rsidP="000B32F2">
            <w:pPr>
              <w:spacing w:line="303" w:lineRule="auto"/>
              <w:ind w:left="152" w:right="43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Kontrola dostępu oparta na rolach (RBAC)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8CE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bazy danych obsługuje kontrolę dostępu do poszczególnych elementów danych opartą na rolach. </w:t>
            </w:r>
          </w:p>
        </w:tc>
      </w:tr>
      <w:tr w:rsidR="000B32F2" w:rsidRPr="000B32F2" w14:paraId="557DDA9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3854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Bezpieczeństwo obiektów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EEB8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Bezpieczeństwo na poziomie obiektu bazy danych (na przykład tabele i indeksy) </w:t>
            </w:r>
          </w:p>
        </w:tc>
      </w:tr>
      <w:tr w:rsidR="000B32F2" w:rsidRPr="000B32F2" w14:paraId="00C68B20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B336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Bezpieczeństwo na poziomie wiersza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0F1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bazy danych obsługuje zabezpieczenia na poziomie wiersza. </w:t>
            </w:r>
          </w:p>
        </w:tc>
      </w:tr>
      <w:tr w:rsidR="000B32F2" w:rsidRPr="000B32F2" w14:paraId="1976561F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ECB7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Bezpieczeństwo na poziomie kolumny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D1B1F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System bazy danych obsługuje zabezpieczenia na poziomie kolumn. </w:t>
            </w:r>
          </w:p>
        </w:tc>
      </w:tr>
      <w:tr w:rsidR="000B32F2" w:rsidRPr="000B32F2" w14:paraId="17616BB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9F6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Bezpieczeństwo na poziomie grupy użytkowników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1355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szCs w:val="22"/>
              </w:rPr>
            </w:pPr>
            <w:r w:rsidRPr="000B32F2">
              <w:rPr>
                <w:rFonts w:ascii="Calibri" w:eastAsia="Calibri" w:hAnsi="Calibri" w:cs="Calibri"/>
                <w:sz w:val="22"/>
                <w:szCs w:val="22"/>
              </w:rPr>
              <w:t xml:space="preserve">Aby uprościć zarządzanie użytkownicy mogą być pogrupowani według działów funkcjonalnych lub innych organizacji. </w:t>
            </w:r>
          </w:p>
        </w:tc>
      </w:tr>
      <w:tr w:rsidR="000B32F2" w:rsidRPr="000B32F2" w14:paraId="1C693F88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F6EEC8F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Kopie zapasowe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D75D49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0B32F2" w:rsidRPr="000B32F2" w14:paraId="6B1211D4" w14:textId="77777777" w:rsidTr="009A160B">
        <w:trPr>
          <w:trHeight w:val="194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7115C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Typy kopii zapasowych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BECD" w14:textId="77777777" w:rsidR="000B32F2" w:rsidRPr="000B32F2" w:rsidRDefault="000B32F2" w:rsidP="000B32F2">
            <w:pPr>
              <w:spacing w:after="24"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Możliwe jest wykonanie kopii zapasowych w trybach: </w:t>
            </w:r>
          </w:p>
          <w:p w14:paraId="37A1AA25" w14:textId="77777777" w:rsidR="000B32F2" w:rsidRPr="000B32F2" w:rsidRDefault="000B32F2" w:rsidP="000B32F2">
            <w:pPr>
              <w:numPr>
                <w:ilvl w:val="0"/>
                <w:numId w:val="19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całościowym po wyłączeniu bazy (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cold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backup), </w:t>
            </w:r>
          </w:p>
          <w:p w14:paraId="500927F4" w14:textId="77777777" w:rsidR="000B32F2" w:rsidRPr="000B32F2" w:rsidRDefault="000B32F2" w:rsidP="000B32F2">
            <w:pPr>
              <w:numPr>
                <w:ilvl w:val="0"/>
                <w:numId w:val="19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całościowym podczas działania bazy (hot backup), </w:t>
            </w:r>
          </w:p>
          <w:p w14:paraId="0A4EA5AB" w14:textId="77777777" w:rsidR="000B32F2" w:rsidRPr="000B32F2" w:rsidRDefault="000B32F2" w:rsidP="000B32F2">
            <w:pPr>
              <w:numPr>
                <w:ilvl w:val="0"/>
                <w:numId w:val="19"/>
              </w:numPr>
              <w:spacing w:after="46" w:line="303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inkrementalnym kumulowanym - zmiany od ostatniego całościowego, </w:t>
            </w:r>
          </w:p>
          <w:p w14:paraId="0636456D" w14:textId="77777777" w:rsidR="000B32F2" w:rsidRPr="000B32F2" w:rsidRDefault="000B32F2" w:rsidP="000B32F2">
            <w:pPr>
              <w:numPr>
                <w:ilvl w:val="0"/>
                <w:numId w:val="19"/>
              </w:numPr>
              <w:spacing w:after="15" w:line="259" w:lineRule="auto"/>
              <w:ind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inkrementalnym różnicowym - zmiany od ostatniego przyrostowego. </w:t>
            </w:r>
          </w:p>
        </w:tc>
      </w:tr>
      <w:tr w:rsidR="000B32F2" w:rsidRPr="000B32F2" w14:paraId="08C51FAC" w14:textId="77777777" w:rsidTr="009A160B">
        <w:trPr>
          <w:trHeight w:val="2682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EAC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Narzędzia backupu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8CD2" w14:textId="77777777" w:rsidR="000B32F2" w:rsidRPr="000B32F2" w:rsidRDefault="000B32F2" w:rsidP="000B32F2">
            <w:pPr>
              <w:spacing w:line="303" w:lineRule="auto"/>
              <w:ind w:left="4" w:right="46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 ramach narzędzi do tworzenia kopii zapasowych jest możliwość wykonania pełnego backupu bazy podczas działania bazy oraz wykonanie przywrócenia w dowolnym punkcie czasu (point in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recovery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lub dowolnej transakcji z pełnego backupu lub backupu przyrostowego. </w:t>
            </w:r>
          </w:p>
        </w:tc>
      </w:tr>
      <w:tr w:rsidR="000B32F2" w:rsidRPr="000B32F2" w14:paraId="22BB731D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D5CB2A0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Licencje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83D4CE3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0B32F2" w:rsidRPr="000B32F2" w14:paraId="350F7BA9" w14:textId="77777777" w:rsidTr="009A160B">
        <w:trPr>
          <w:trHeight w:val="55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BE06D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Zakres licencji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749C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Dostarczona licencja musi obejmować wszystkie wymienione funkcjonalności. </w:t>
            </w:r>
          </w:p>
        </w:tc>
      </w:tr>
      <w:tr w:rsidR="000B32F2" w:rsidRPr="000B32F2" w14:paraId="6E3F4B08" w14:textId="77777777" w:rsidTr="009A160B">
        <w:trPr>
          <w:trHeight w:val="82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7C6F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Limit licencji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603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 ramach dostarczonej licencji Zamawiający będzie posiadał prawo do zainstalowania nieograniczonej liczby instancji bazy danych bez ograniczeń sprzętowych na środowiskach Zamawiającego. </w:t>
            </w:r>
          </w:p>
        </w:tc>
      </w:tr>
    </w:tbl>
    <w:p w14:paraId="0D2E6F44" w14:textId="77777777" w:rsidR="000B32F2" w:rsidRPr="000B32F2" w:rsidRDefault="000B32F2" w:rsidP="000B32F2">
      <w:pPr>
        <w:spacing w:line="303" w:lineRule="auto"/>
        <w:ind w:left="152" w:right="58" w:hanging="10"/>
        <w:jc w:val="both"/>
        <w:rPr>
          <w:color w:val="000000"/>
          <w:szCs w:val="22"/>
        </w:rPr>
      </w:pPr>
      <w:r w:rsidRPr="000B32F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3533"/>
        <w:gridCol w:w="5855"/>
      </w:tblGrid>
      <w:tr w:rsidR="000B32F2" w:rsidRPr="000B32F2" w14:paraId="2F41D855" w14:textId="77777777" w:rsidTr="009A160B">
        <w:trPr>
          <w:trHeight w:val="403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14:paraId="496F32D5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Gwarancja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14:paraId="49FDF8E2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0B32F2" w:rsidRPr="000B32F2" w14:paraId="4DF0AA04" w14:textId="77777777" w:rsidTr="009A160B">
        <w:trPr>
          <w:trHeight w:val="1498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513BE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nowych wersji i poprawek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A311DA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strony producenta zawierającej aktualizacje Oprogramowania w szczególności nowe wersje Oprogramowania, wersje podwyższone, wydania uzupełniające oraz poprawki programistyczne</w:t>
            </w:r>
          </w:p>
        </w:tc>
      </w:tr>
      <w:tr w:rsidR="000B32F2" w:rsidRPr="000B32F2" w14:paraId="09D44933" w14:textId="77777777" w:rsidTr="009A160B">
        <w:trPr>
          <w:trHeight w:val="946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742C8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Wsparcie zamawiającego w trybie 24 godziny/7 dni w tygodniu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89B8A4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Wsparcie producenta:</w:t>
            </w:r>
          </w:p>
          <w:p w14:paraId="71DD428F" w14:textId="4E412566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S1:</w:t>
            </w:r>
            <w:r w:rsidR="00F54A3D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Czasu Naprawy dla Incydentu Krytycznego do 4 godzin.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1FC6AAD" w14:textId="2C1F722E" w:rsidR="000B32F2" w:rsidRPr="000B32F2" w:rsidRDefault="000B32F2" w:rsidP="000B32F2">
            <w:pPr>
              <w:spacing w:line="303" w:lineRule="auto"/>
              <w:ind w:left="-6" w:right="5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S2:</w:t>
            </w:r>
            <w:r w:rsidR="00F54A3D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Czasu Naprawy dla Incydentu Poważnego do 8 godzin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435B19C" w14:textId="6E742306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S3:</w:t>
            </w:r>
            <w:r w:rsidR="00F54A3D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Czasu Naprawy dla Incydentu Drobnego do 10 dni roboczych.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AEB7467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6D672F9C" w14:textId="726B0BFA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lastRenderedPageBreak/>
              <w:t>Poziom S1:</w:t>
            </w:r>
            <w:r w:rsidR="00F54A3D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Czas docelowego rozwiązania problemu dla Incydentu Krytycznego do 1 dnia.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DCD1EA0" w14:textId="4B5D887A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S2:</w:t>
            </w:r>
            <w:r w:rsidR="00F54A3D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Czas docelowego rozwiązania problemu dla Incydentu Poważnego do 5 dni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11CD803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0A97B68C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Czas reakcji: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942C8F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S1: do 15 minut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22476BD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S2: do 30 minut</w:t>
            </w:r>
          </w:p>
          <w:p w14:paraId="1BEBDD65" w14:textId="77777777" w:rsidR="000B32F2" w:rsidRPr="000B32F2" w:rsidRDefault="000B32F2" w:rsidP="00F54A3D">
            <w:pPr>
              <w:spacing w:line="303" w:lineRule="auto"/>
              <w:ind w:left="4" w:right="58" w:hanging="10"/>
              <w:rPr>
                <w:rFonts w:ascii="Aptos" w:eastAsia="Aptos" w:hAnsi="Aptos" w:cs="Aptos"/>
                <w:color w:val="000000"/>
                <w:szCs w:val="22"/>
                <w:highlight w:val="yellow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Poziom S3: do 60 minut</w:t>
            </w:r>
            <w:r w:rsidRPr="000B32F2">
              <w:rPr>
                <w:color w:val="000000"/>
                <w:szCs w:val="22"/>
              </w:rPr>
              <w:br/>
            </w:r>
            <w:r w:rsidRPr="000B32F2">
              <w:rPr>
                <w:rFonts w:ascii="Aptos" w:eastAsia="Aptos" w:hAnsi="Aptos" w:cs="Aptos"/>
                <w:color w:val="000000"/>
                <w:szCs w:val="24"/>
                <w:highlight w:val="yellow"/>
              </w:rPr>
              <w:t xml:space="preserve"> </w:t>
            </w:r>
          </w:p>
          <w:p w14:paraId="42993007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Maksymalna liczba zgłoszonych incydentów: bez limitu</w:t>
            </w: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B32F2" w:rsidRPr="000B32F2" w14:paraId="711E57D3" w14:textId="77777777" w:rsidTr="009A160B">
        <w:trPr>
          <w:trHeight w:val="946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08D609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Posiadanie osób z kwalifikacjami na poziomie architekta systemu operacyjnego Linux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07ED10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mniej niż 2 osoby. </w:t>
            </w:r>
          </w:p>
        </w:tc>
      </w:tr>
      <w:tr w:rsidR="000B32F2" w:rsidRPr="000B32F2" w14:paraId="0267DC82" w14:textId="77777777" w:rsidTr="009A160B">
        <w:trPr>
          <w:trHeight w:val="677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C31C3" w14:textId="77777777" w:rsidR="000B32F2" w:rsidRPr="000B32F2" w:rsidRDefault="000B32F2" w:rsidP="000B32F2">
            <w:pPr>
              <w:spacing w:line="303" w:lineRule="auto"/>
              <w:ind w:left="152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Posiadanie osób z kwalifikacjami </w:t>
            </w:r>
            <w:proofErr w:type="spellStart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professional</w:t>
            </w:r>
            <w:proofErr w:type="spellEnd"/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poziomie bazy danych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ADE646" w14:textId="77777777" w:rsidR="000B32F2" w:rsidRPr="000B32F2" w:rsidRDefault="000B32F2" w:rsidP="000B32F2">
            <w:pPr>
              <w:spacing w:line="303" w:lineRule="auto"/>
              <w:ind w:left="4" w:right="58" w:hanging="10"/>
              <w:jc w:val="both"/>
              <w:rPr>
                <w:color w:val="000000"/>
                <w:szCs w:val="22"/>
              </w:rPr>
            </w:pPr>
            <w:r w:rsidRPr="000B32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mniej niż 2 osoby. </w:t>
            </w:r>
          </w:p>
        </w:tc>
      </w:tr>
    </w:tbl>
    <w:p w14:paraId="01C778D7" w14:textId="7DE02044" w:rsidR="00681D39" w:rsidRDefault="00681D39"/>
    <w:p w14:paraId="1A42D148" w14:textId="1063854F" w:rsidR="00F54A3D" w:rsidRDefault="00F54A3D"/>
    <w:p w14:paraId="2C662126" w14:textId="1A9F8FDF" w:rsidR="00F54A3D" w:rsidRPr="00F54A3D" w:rsidRDefault="00F54A3D" w:rsidP="00F54A3D">
      <w:pPr>
        <w:pStyle w:val="Nagwek1"/>
      </w:pPr>
      <w:r>
        <w:t>Wymagania funkcjonalne dla produktów</w:t>
      </w:r>
      <w:r w:rsidRPr="00F54A3D">
        <w:t xml:space="preserve"> Enterprise Plan (</w:t>
      </w:r>
      <w:proofErr w:type="spellStart"/>
      <w:r w:rsidRPr="00F54A3D">
        <w:t>uniCores</w:t>
      </w:r>
      <w:proofErr w:type="spellEnd"/>
      <w:r w:rsidRPr="00F54A3D">
        <w:t xml:space="preserve">) </w:t>
      </w:r>
    </w:p>
    <w:p w14:paraId="651268F2" w14:textId="77777777" w:rsidR="00F54A3D" w:rsidRPr="00927D69" w:rsidRDefault="00F54A3D" w:rsidP="00F54A3D">
      <w:pPr>
        <w:rPr>
          <w:lang w:val="en-US"/>
        </w:rPr>
      </w:pPr>
      <w:r w:rsidRPr="00927D69">
        <w:rPr>
          <w:lang w:val="en-US"/>
        </w:rPr>
        <w:t>Level: Premium 24 x 7 x 365 Support</w:t>
      </w:r>
    </w:p>
    <w:p w14:paraId="0E510A52" w14:textId="77777777" w:rsidR="00F54A3D" w:rsidRPr="00927D69" w:rsidRDefault="00F54A3D" w:rsidP="00F54A3D">
      <w:pPr>
        <w:rPr>
          <w:lang w:val="en-US"/>
        </w:rPr>
      </w:pPr>
    </w:p>
    <w:tbl>
      <w:tblPr>
        <w:tblStyle w:val="Tabela-Siatka1"/>
        <w:tblW w:w="9388" w:type="dxa"/>
        <w:tblInd w:w="12" w:type="dxa"/>
        <w:tblCellMar>
          <w:top w:w="52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F54A3D" w14:paraId="04CC6353" w14:textId="77777777" w:rsidTr="009A160B">
        <w:trPr>
          <w:trHeight w:val="40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605AFAC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Kryteria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331490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Opis </w:t>
            </w:r>
          </w:p>
        </w:tc>
      </w:tr>
      <w:tr w:rsidR="00F54A3D" w14:paraId="15399379" w14:textId="77777777" w:rsidTr="009A160B">
        <w:trPr>
          <w:trHeight w:val="40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00B1456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Dostępność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417EF06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3811E3EA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37B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Wysoka dostępność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2824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środowisko wysokiej dostępności.  </w:t>
            </w:r>
          </w:p>
        </w:tc>
      </w:tr>
      <w:tr w:rsidR="00F54A3D" w14:paraId="6DE5D55A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64FF" w14:textId="77777777" w:rsidR="00F54A3D" w:rsidRPr="00685B99" w:rsidRDefault="00F54A3D" w:rsidP="009A160B">
            <w:pPr>
              <w:ind w:right="37"/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Wysoka dostępność - architektura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4E13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System bazy danych obsługuje środowisko zautomatyzowanych klastrów wysokiej dostępności w trybie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primary-standby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>, zarządzające wieloma fizycznymi replikami bazy podstawowej (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primary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>)</w:t>
            </w:r>
          </w:p>
          <w:p w14:paraId="45FBF4A9" w14:textId="77777777" w:rsidR="00F54A3D" w:rsidRPr="00685B99" w:rsidRDefault="00F54A3D" w:rsidP="009A160B">
            <w:pPr>
              <w:ind w:left="4"/>
            </w:pPr>
          </w:p>
        </w:tc>
      </w:tr>
      <w:tr w:rsidR="00F54A3D" w14:paraId="1077F3DF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D55C" w14:textId="77777777" w:rsidR="00F54A3D" w:rsidRPr="00685B99" w:rsidRDefault="00F54A3D" w:rsidP="009A160B">
            <w:pPr>
              <w:ind w:right="37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Wysoka dostępność i zabezpieczenie danych przed utratą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3E10B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System bazy danych powinien umożliwiać na uruchomienie replik fizycznych w trybie synchronicznym i asynchronicznym.</w:t>
            </w:r>
          </w:p>
          <w:p w14:paraId="00FD4CCD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</w:p>
        </w:tc>
      </w:tr>
      <w:tr w:rsidR="00F54A3D" w14:paraId="02D30631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3699C" w14:textId="77777777" w:rsidR="00F54A3D" w:rsidRDefault="00F54A3D" w:rsidP="009A160B">
            <w:pPr>
              <w:ind w:right="37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Wysoka dostępność - zarządzanie połączeniami aplikacyjnymi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6279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Aplikacje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powinne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łączyć się do usługi bazy danych poprzez:</w:t>
            </w:r>
          </w:p>
          <w:p w14:paraId="6DD98130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- Zarządzany automatycznie wirtualny adres IP możliwy do przydzielenia na serwerach obsługujących bazę danych, przekierowujący ruch zapisowy do właściwej bazy danych.</w:t>
            </w:r>
          </w:p>
          <w:p w14:paraId="4C3E0858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- LUB oprogramowanie obsługujące pule połączeń z aplikacji do bazy danych działające na innych maszynach i automatycznie przekierowujące ruch zapisowy bazy danych do bazy danych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primary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. Oprogramowanie zarządzające pulą połączeń powinno ponadto umożliwiać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klastrowanie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w celu zapewnienia wysokiej </w:t>
            </w:r>
            <w:r w:rsidRPr="00685B99">
              <w:rPr>
                <w:rFonts w:ascii="Calibri" w:eastAsia="Calibri" w:hAnsi="Calibri" w:cs="Calibri"/>
                <w:sz w:val="22"/>
              </w:rPr>
              <w:lastRenderedPageBreak/>
              <w:t>dostępności puli oraz przekierowywanie ruchu odczytowego do replik bazy danych.</w:t>
            </w:r>
          </w:p>
        </w:tc>
      </w:tr>
      <w:tr w:rsidR="00F54A3D" w14:paraId="33E7FAC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40B1" w14:textId="77777777" w:rsidR="00F54A3D" w:rsidRPr="00685B99" w:rsidRDefault="00F54A3D" w:rsidP="009A160B">
            <w:pPr>
              <w:ind w:right="37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lastRenderedPageBreak/>
              <w:t>Wysoka dostępność - elastyczność konfiguracji klastra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BDA9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Klaster bazy danych musi zapewnić możliwość dodawania kolejnych i usuwania serwerów baz danych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standby</w:t>
            </w:r>
            <w:proofErr w:type="spellEnd"/>
          </w:p>
        </w:tc>
      </w:tr>
      <w:tr w:rsidR="00F54A3D" w14:paraId="76F8A68A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4E5B" w14:textId="77777777" w:rsidR="00F54A3D" w:rsidRPr="00685B99" w:rsidRDefault="00F54A3D" w:rsidP="009A160B">
            <w:pPr>
              <w:ind w:right="37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Wysoka dostępność - automatyzacja operacji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E8A0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Klaster bazy danych musi zapewnić możliwość bezobsługowego przełączenia w sytuacji awaryjnej lub ręcznej zamiany ról pomiędzy bazą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primary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a jedną z baz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standby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poprzez zautomatyzowane czynności:</w:t>
            </w:r>
          </w:p>
          <w:p w14:paraId="26002DB9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● Promocji jednej z baz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standby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do roli bazy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primary</w:t>
            </w:r>
            <w:proofErr w:type="spellEnd"/>
          </w:p>
          <w:p w14:paraId="6FE6E5C0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● Rekonfiguracji replikacji z wypromowanej bazy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primary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do pozostałych baz danych działających w trybie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standby</w:t>
            </w:r>
            <w:proofErr w:type="spellEnd"/>
          </w:p>
          <w:p w14:paraId="0808E4E6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● Rekonfiguracji połączeń aplikacyjnych odzwierciedlających zmienioną konfigurację klastra bazy danych</w:t>
            </w:r>
          </w:p>
          <w:p w14:paraId="5841FFA1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</w:p>
        </w:tc>
      </w:tr>
      <w:tr w:rsidR="00F54A3D" w14:paraId="1AA7708E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014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Wysoka dostępność - wymagania </w:t>
            </w:r>
          </w:p>
          <w:p w14:paraId="4CAFF874" w14:textId="77777777" w:rsidR="00F54A3D" w:rsidRDefault="00F54A3D" w:rsidP="009A160B">
            <w:pPr>
              <w:ind w:right="36"/>
            </w:pPr>
            <w:r>
              <w:rPr>
                <w:rFonts w:ascii="Calibri" w:eastAsia="Calibri" w:hAnsi="Calibri" w:cs="Calibri"/>
                <w:sz w:val="22"/>
              </w:rPr>
              <w:t xml:space="preserve">dotyczące odległości geograficznej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B570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rozproszone geograficznie ośrodki wysokiej dostępności. </w:t>
            </w:r>
          </w:p>
        </w:tc>
      </w:tr>
      <w:tr w:rsidR="00F54A3D" w14:paraId="4BD059BF" w14:textId="77777777" w:rsidTr="009A160B">
        <w:trPr>
          <w:trHeight w:val="94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5C17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Heterogeniczna replikacja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CFD1" w14:textId="77777777" w:rsidR="00F54A3D" w:rsidRDefault="00F54A3D" w:rsidP="009A160B">
            <w:pPr>
              <w:ind w:left="4" w:right="50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umożliwia replikację miedzy różnymi dostawcami oprogramowania baz danych w tym Oracle, MSSQL,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PostgreSQL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 </w:t>
            </w:r>
          </w:p>
        </w:tc>
      </w:tr>
    </w:tbl>
    <w:p w14:paraId="130FBF8B" w14:textId="77777777" w:rsidR="00F54A3D" w:rsidRDefault="00F54A3D" w:rsidP="00F54A3D">
      <w:pPr>
        <w:ind w:left="-1078" w:right="13"/>
      </w:pPr>
    </w:p>
    <w:tbl>
      <w:tblPr>
        <w:tblStyle w:val="Tabela-Siatka1"/>
        <w:tblW w:w="9393" w:type="dxa"/>
        <w:tblInd w:w="10" w:type="dxa"/>
        <w:tblCellMar>
          <w:top w:w="53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3205"/>
        <w:gridCol w:w="6188"/>
      </w:tblGrid>
      <w:tr w:rsidR="00F54A3D" w14:paraId="39FA2AFE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F217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Narzędzia do integracji danych z natywnymi interfejsami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37D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Obejmuje narzędzie do integracji i ekstrakcji danych na potrzeby hurtowni danych, oraz rozproszonego przetwarzania zapytań. </w:t>
            </w:r>
          </w:p>
        </w:tc>
      </w:tr>
      <w:tr w:rsidR="00F54A3D" w:rsidRPr="00A652F2" w14:paraId="39DF993C" w14:textId="77777777" w:rsidTr="009A160B">
        <w:trPr>
          <w:trHeight w:val="12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01DB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Standardowe opcje połączeń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3F0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Obejmuje to łączność z Systemem Baz Danych (na przykład Open </w:t>
            </w:r>
          </w:p>
          <w:p w14:paraId="002C2DA4" w14:textId="77777777" w:rsidR="00F54A3D" w:rsidRPr="00927D69" w:rsidRDefault="00F54A3D" w:rsidP="009A160B">
            <w:pPr>
              <w:rPr>
                <w:lang w:val="en-US"/>
              </w:rPr>
            </w:pPr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Database Connectivity [ODBC], Java Database Connectivity [JDBC], Web Services [WS], Object Linking and Embedding Database [OLEDB] i </w:t>
            </w:r>
            <w:proofErr w:type="spellStart"/>
            <w:r w:rsidRPr="00927D69">
              <w:rPr>
                <w:rFonts w:ascii="Calibri" w:eastAsia="Calibri" w:hAnsi="Calibri" w:cs="Calibri"/>
                <w:sz w:val="22"/>
                <w:lang w:val="en-US"/>
              </w:rPr>
              <w:t>inne</w:t>
            </w:r>
            <w:proofErr w:type="spellEnd"/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). </w:t>
            </w:r>
          </w:p>
        </w:tc>
      </w:tr>
      <w:tr w:rsidR="00F54A3D" w14:paraId="1627B098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7687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danych zewnętrznych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F833" w14:textId="77777777" w:rsidR="00F54A3D" w:rsidRDefault="00F54A3D" w:rsidP="009A160B">
            <w:pPr>
              <w:ind w:right="48"/>
            </w:pPr>
            <w:r>
              <w:rPr>
                <w:rFonts w:ascii="Calibri" w:eastAsia="Calibri" w:hAnsi="Calibri" w:cs="Calibri"/>
                <w:sz w:val="22"/>
              </w:rPr>
              <w:t xml:space="preserve">Dostawca zapewnia narzędzia do zarządzania zewnętrznymi źródłami danych, które umożliwiają połączenie danych z systemów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Hadoop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NoSQL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 </w:t>
            </w:r>
          </w:p>
        </w:tc>
      </w:tr>
      <w:tr w:rsidR="00F54A3D" w14:paraId="0C3C4268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788F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Zapytania dotyczące wielu modeli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C869" w14:textId="77777777" w:rsidR="00F54A3D" w:rsidRDefault="00F54A3D" w:rsidP="009A160B">
            <w:pPr>
              <w:ind w:right="48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zapewnia natywną obsługę języka SQL do wykonywania zapytań dotyczących wielu modeli danych i obiektów, w tym do wykonywania zapytań między nimi (łączenia). </w:t>
            </w:r>
          </w:p>
        </w:tc>
      </w:tr>
      <w:tr w:rsidR="00F54A3D" w14:paraId="4D11CD7C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C569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Przełączanie awaryjne aplikacji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AB4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może automatycznie kontynuować uruchomianie aplikacji po przełączeniu awaryjnym bez ręcznego restartu. </w:t>
            </w:r>
          </w:p>
        </w:tc>
      </w:tr>
      <w:tr w:rsidR="00F54A3D" w14:paraId="33EE0623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F03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Reorganizacja bazy danych w trybie online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E12B" w14:textId="77777777" w:rsidR="00F54A3D" w:rsidRDefault="00F54A3D" w:rsidP="009A160B">
            <w:pPr>
              <w:ind w:right="47"/>
            </w:pPr>
            <w:r>
              <w:rPr>
                <w:rFonts w:ascii="Calibri" w:eastAsia="Calibri" w:hAnsi="Calibri" w:cs="Calibri"/>
                <w:sz w:val="22"/>
              </w:rPr>
              <w:t xml:space="preserve">System baz danych obsługuje możliwość reorganizacji baz danych w trybie online bez konieczności zamykania systemu. </w:t>
            </w:r>
          </w:p>
        </w:tc>
      </w:tr>
      <w:tr w:rsidR="00F54A3D" w14:paraId="6B73DF9E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4C8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Reorganizacja indeksów w trybie online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7CE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 danych obsługuje możliwość reorganizacji indeksów w trybie online bez konieczności zamykania systemu. </w:t>
            </w:r>
          </w:p>
        </w:tc>
      </w:tr>
      <w:tr w:rsidR="00F54A3D" w14:paraId="2ABC76FC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9C9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Zmiany konfiguracji w trybie online na wielu instancjach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582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Można wprowadzać zmiany konfiguracji w wielu instancjach tej samej bazy danych, bez zatrzymywania Systemu bazy danych. </w:t>
            </w:r>
          </w:p>
        </w:tc>
      </w:tr>
      <w:tr w:rsidR="00F54A3D" w14:paraId="0252C38F" w14:textId="77777777" w:rsidTr="009A160B">
        <w:trPr>
          <w:trHeight w:val="679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587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>Opcje dodatkowego środowiska DR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Disaster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Recovery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7D2E7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obsługuje środowisko odtwarzania po awarii.  </w:t>
            </w:r>
          </w:p>
        </w:tc>
      </w:tr>
      <w:tr w:rsidR="00F54A3D" w14:paraId="23383043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4FE0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Dublowanie lub replikacja bazy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D592" w14:textId="77777777" w:rsidR="00F54A3D" w:rsidRDefault="00F54A3D" w:rsidP="009A160B">
            <w:pPr>
              <w:ind w:right="13"/>
            </w:pPr>
            <w:r>
              <w:rPr>
                <w:rFonts w:ascii="Calibri" w:eastAsia="Calibri" w:hAnsi="Calibri" w:cs="Calibri"/>
                <w:sz w:val="22"/>
              </w:rPr>
              <w:t>System bazy danych posiada zdolność do tworzenia zduplikowanych kopii baz danych w środowisku "hot" DR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Disaster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Recovery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.  </w:t>
            </w:r>
          </w:p>
        </w:tc>
      </w:tr>
      <w:tr w:rsidR="00F54A3D" w14:paraId="51DC3009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354F" w14:textId="77777777" w:rsidR="00F54A3D" w:rsidRDefault="00F54A3D" w:rsidP="009A160B">
            <w:pPr>
              <w:ind w:right="8"/>
            </w:pPr>
            <w:r>
              <w:rPr>
                <w:rFonts w:ascii="Calibri" w:eastAsia="Calibri" w:hAnsi="Calibri" w:cs="Calibri"/>
                <w:sz w:val="22"/>
              </w:rPr>
              <w:t>Aktywna hot kopia bazy danych w środowisku DR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Disaster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Recovery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EFA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>System bazy danych posiada zdolność dla użytkownika do korzystania ze środowiska DR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Disaster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Recovery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na potrzeby aplikacji.  </w:t>
            </w:r>
          </w:p>
        </w:tc>
      </w:tr>
      <w:tr w:rsidR="00F54A3D" w14:paraId="094BFE24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BCF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Przeniesienie bazy danych online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EE3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obsługuje migrację live baz danych na różne serwery i centra danych. </w:t>
            </w:r>
          </w:p>
        </w:tc>
      </w:tr>
    </w:tbl>
    <w:p w14:paraId="4361611A" w14:textId="77777777" w:rsidR="00F54A3D" w:rsidRDefault="00F54A3D" w:rsidP="00F54A3D">
      <w:pPr>
        <w:ind w:left="-1078" w:right="15"/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F54A3D" w14:paraId="401FAB45" w14:textId="77777777" w:rsidTr="009A160B">
        <w:trPr>
          <w:trHeight w:val="136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6FAD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Wsparcie systemów operacyjnych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B0A7" w14:textId="77777777" w:rsidR="00F54A3D" w:rsidRDefault="00F54A3D" w:rsidP="009A160B">
            <w:pPr>
              <w:ind w:left="4" w:right="48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oraz poszczególne narzędzia do zarządzania klastrami wysokiej dostępności, replikacją i backupem </w:t>
            </w:r>
            <w:r w:rsidRPr="00685B99">
              <w:rPr>
                <w:rFonts w:ascii="Calibri" w:eastAsia="Calibri" w:hAnsi="Calibri" w:cs="Calibri"/>
                <w:sz w:val="22"/>
              </w:rPr>
              <w:t xml:space="preserve">posiadają certyfikację na systemy operacyjne Red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Hat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Enterprise Linux</w:t>
            </w:r>
            <w:r>
              <w:rPr>
                <w:rFonts w:ascii="Calibri" w:eastAsia="Calibri" w:hAnsi="Calibri" w:cs="Calibri"/>
                <w:sz w:val="22"/>
              </w:rPr>
              <w:t xml:space="preserve">, SUSE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linux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Ubuntu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oraz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Debian</w:t>
            </w:r>
            <w:proofErr w:type="spellEnd"/>
          </w:p>
        </w:tc>
      </w:tr>
      <w:tr w:rsidR="00F54A3D" w14:paraId="7DB0295C" w14:textId="77777777" w:rsidTr="009A160B">
        <w:trPr>
          <w:trHeight w:val="40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9FA3D2D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Administracja i zarządzanie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009A949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409EB7EB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B870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Narzędzia do tworzenia kopii zapasowych i ich odzyskiwania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910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</w:t>
            </w:r>
            <w:r w:rsidRPr="00685B99">
              <w:rPr>
                <w:rFonts w:ascii="Calibri" w:eastAsia="Calibri" w:hAnsi="Calibri" w:cs="Calibri"/>
                <w:sz w:val="22"/>
              </w:rPr>
              <w:t>bazy danych zawiera narzędzia do tworzenia przyrostowych kopii zapasowych i ich odzyskiwania. Powinna istnieć możliwość bieżącego przesyłania dzienników transakcyjnych z bazy danych do środowiska utrzymywania kopii zapasowych, automatyczne ich katalogowanie oraz wykorzystanie w scenariuszach odtwarzania. Ponadto powinna istnieć możliwość deklaratywnego zarządzania retencją kopii zapasowych</w:t>
            </w:r>
          </w:p>
        </w:tc>
      </w:tr>
      <w:tr w:rsidR="00F54A3D" w14:paraId="1A140A9D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831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Narzędzia firm trzecich do tworzenia kopi zapasowych  i ich odzyskiwania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1512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jest wspierany przez produkty do tworzenia kopii zapasowych i ich odzyskiwania firmy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Commvault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używanego przez zamawiającego.</w:t>
            </w:r>
          </w:p>
        </w:tc>
      </w:tr>
      <w:tr w:rsidR="00F54A3D" w14:paraId="14A7886A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EFE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Tworzenie i kontrola silnika bazy danych 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DDC5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zawiera narzędzia do tworzenia i kontroli bazy danych. </w:t>
            </w:r>
          </w:p>
        </w:tc>
      </w:tr>
      <w:tr w:rsidR="00F54A3D" w14:paraId="6672FF33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06A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Narzędzia administratora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EF38" w14:textId="77777777" w:rsidR="00F54A3D" w:rsidRDefault="00F54A3D" w:rsidP="009A160B">
            <w:pPr>
              <w:ind w:left="4" w:right="40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zawiera narzędzia do monitorowania wyjątków działania i ostrzegania. </w:t>
            </w:r>
          </w:p>
        </w:tc>
      </w:tr>
      <w:tr w:rsidR="00F54A3D" w14:paraId="020B18DC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28C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Otwarte i udokumentowane interfejsy dla oprogramowania firm trzecich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7805" w14:textId="77777777" w:rsidR="00F54A3D" w:rsidRDefault="00F54A3D" w:rsidP="009A160B">
            <w:pPr>
              <w:ind w:left="4" w:right="50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ma udokumentowane otwarte interfejsy, z których mogą korzystać zewnętrzni dostawcy narzędzi dla administratorów baz danych. </w:t>
            </w:r>
          </w:p>
        </w:tc>
      </w:tr>
      <w:tr w:rsidR="00F54A3D" w14:paraId="28FCD7D8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568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Zautomatyzowane narzędzia do zarządzania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A7F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Dodatkowe wbudowanie narzędzie umożliwia automatyzowanie normalnych, codziennych operacji administracyjnych. </w:t>
            </w:r>
          </w:p>
        </w:tc>
      </w:tr>
      <w:tr w:rsidR="00F54A3D" w14:paraId="65CDD6DE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51F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Narzędzie do definicji danych i kontroli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11B2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narzędzie do ręcznego wprowadzania poleceń DDL i DCL (wiersz poleceń). </w:t>
            </w:r>
          </w:p>
        </w:tc>
      </w:tr>
      <w:tr w:rsidR="00F54A3D" w14:paraId="09BBCEB8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F09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Narzędzie do definicji danych i kontroli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D66C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graficzne narzędzia do automatyzacji zadań DDL i DML. </w:t>
            </w:r>
          </w:p>
        </w:tc>
      </w:tr>
      <w:tr w:rsidR="00F54A3D" w14:paraId="036FEBA8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6286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Narzędzie do aktualizacji wersji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12A3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narzędzia do automatyzacji procesu aktualizacji bazy danych do nowych wersji.  </w:t>
            </w:r>
          </w:p>
        </w:tc>
      </w:tr>
      <w:tr w:rsidR="00F54A3D" w14:paraId="28994CCA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49FE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Wgrywanie poprawek bez zatrzymywania serwera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39DC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umożliwia instalację poprawek bazy danych bez zatrzymywania serwera bazy danych. </w:t>
            </w:r>
          </w:p>
        </w:tc>
      </w:tr>
      <w:tr w:rsidR="00F54A3D" w14:paraId="650B6FA9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A545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Wirtualizacja: software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hypervisors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1146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wspiera produkty wirtualizacji programowej takie jak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VMware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Hyper-V, KVM, kontenery</w:t>
            </w:r>
          </w:p>
        </w:tc>
      </w:tr>
    </w:tbl>
    <w:p w14:paraId="02C7A04F" w14:textId="77777777" w:rsidR="00F54A3D" w:rsidRDefault="00F54A3D" w:rsidP="00F54A3D">
      <w:pPr>
        <w:ind w:left="-1078" w:right="15"/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46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F54A3D" w14:paraId="454BCA8F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981E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Wirtualizacja: licencje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913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Nie ma ograniczeń licencyjnych podczas używania systemu bazy danych z wirtualizacją. </w:t>
            </w:r>
          </w:p>
        </w:tc>
      </w:tr>
      <w:tr w:rsidR="00F54A3D" w14:paraId="33E0BE77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ADE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kontenerów i orkiestracji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94F2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wspiera zewnętrzne platformy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konteneryzacyjne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oraz orkiestrację, takie jak Docker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Kubernetes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F54A3D" w14:paraId="169BDCDF" w14:textId="77777777" w:rsidTr="009A160B">
        <w:trPr>
          <w:trHeight w:val="40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FF797B2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Wsparcie aplikacji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88377E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164D5B6C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0577" w14:textId="77777777" w:rsidR="00F54A3D" w:rsidRDefault="00F54A3D" w:rsidP="009A160B">
            <w:pPr>
              <w:ind w:right="10"/>
            </w:pPr>
            <w:r>
              <w:rPr>
                <w:rFonts w:ascii="Calibri" w:eastAsia="Calibri" w:hAnsi="Calibri" w:cs="Calibri"/>
                <w:sz w:val="22"/>
              </w:rPr>
              <w:t xml:space="preserve">Wsparcie języków programowania 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97B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wsparcie dla języków programowania: J2EE, .NET, Node.js, Go,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Ruby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4A3D" w14:paraId="0FE94434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FA5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ODBC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35E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Istnieje interfejs ODBC do Systemu Bazy Danych. </w:t>
            </w:r>
          </w:p>
        </w:tc>
      </w:tr>
      <w:tr w:rsidR="00F54A3D" w14:paraId="4FB970BD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2B7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JDBC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9DB7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Istnieje interfejs JDBC do Systemu Bazy Danych </w:t>
            </w:r>
          </w:p>
        </w:tc>
      </w:tr>
      <w:tr w:rsidR="00F54A3D" w14:paraId="60BE8F11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EBCA" w14:textId="77777777" w:rsidR="00F54A3D" w:rsidRPr="00685B99" w:rsidRDefault="00F54A3D" w:rsidP="009A160B">
            <w:pPr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Język SQL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51CB" w14:textId="77777777" w:rsidR="00F54A3D" w:rsidRPr="00685B9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System bazy danych umożliwia uruchomienie aplikacji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bazydanych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posługujących się dialektem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PostgreSQL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w wersji 13 lub wyżej</w:t>
            </w:r>
          </w:p>
        </w:tc>
      </w:tr>
      <w:tr w:rsidR="00F54A3D" w14:paraId="53C1686B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737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Wycofywanie i restart transakcji 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727A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wycofanie transakcji. </w:t>
            </w:r>
          </w:p>
        </w:tc>
      </w:tr>
      <w:tr w:rsidR="00F54A3D" w14:paraId="7B0E8FAE" w14:textId="77777777" w:rsidTr="009A160B">
        <w:trPr>
          <w:trHeight w:val="40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B041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Kontrola i wsparcie transakcji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903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instrukcje kontroli transakcji. </w:t>
            </w:r>
          </w:p>
        </w:tc>
      </w:tr>
      <w:tr w:rsidR="00F54A3D" w14:paraId="4343BE64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AF028" w14:textId="77777777" w:rsidR="00F54A3D" w:rsidRDefault="00F54A3D" w:rsidP="009A160B">
            <w:proofErr w:type="spellStart"/>
            <w:r>
              <w:rPr>
                <w:rFonts w:ascii="Calibri" w:eastAsia="Calibri" w:hAnsi="Calibri" w:cs="Calibri"/>
                <w:sz w:val="22"/>
              </w:rPr>
              <w:t>Triggers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(wyzwalacze zdarzeń)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28BD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wyzwalacze zdarzeń. </w:t>
            </w:r>
          </w:p>
        </w:tc>
      </w:tr>
      <w:tr w:rsidR="00F54A3D" w14:paraId="045D1CDF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BD31B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Procedury składowane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5EF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format SQL w procedurach składowanych. </w:t>
            </w:r>
          </w:p>
        </w:tc>
      </w:tr>
      <w:tr w:rsidR="00F54A3D" w14:paraId="7D4ABD22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37E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Embedded 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8F27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wspiera Embedded C. </w:t>
            </w:r>
          </w:p>
        </w:tc>
      </w:tr>
      <w:tr w:rsidR="00F54A3D" w14:paraId="16A2C23D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BCC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Rozszerzenie SQL o procedury składowane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3E9C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rozszerzenia SQL dla procedur składowanych.  </w:t>
            </w:r>
          </w:p>
        </w:tc>
      </w:tr>
      <w:tr w:rsidR="00F54A3D" w14:paraId="09958AD3" w14:textId="77777777" w:rsidTr="009A160B">
        <w:trPr>
          <w:trHeight w:val="68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504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Procedury składowane w języku Java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EE37" w14:textId="77777777" w:rsidR="00F54A3D" w:rsidRDefault="00F54A3D" w:rsidP="009A160B">
            <w:pPr>
              <w:ind w:left="4"/>
            </w:pPr>
            <w:r w:rsidRPr="00685B99">
              <w:rPr>
                <w:rFonts w:ascii="Calibri" w:eastAsia="Calibri" w:hAnsi="Calibri" w:cs="Calibri"/>
                <w:sz w:val="22"/>
              </w:rPr>
              <w:t xml:space="preserve">System bazy danych standardowo obsługuje proceduralny  język Java programowania z obsługą wyjątków procedur składowanych oraz wyzwalaczy. Ponadto instalacja standardowa pozwala na dodanie języków Perl,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Phyton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Tcl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do tworzenia procedur składowanych</w:t>
            </w:r>
          </w:p>
        </w:tc>
      </w:tr>
      <w:tr w:rsidR="00F54A3D" w14:paraId="150E8898" w14:textId="77777777" w:rsidTr="009A160B">
        <w:trPr>
          <w:trHeight w:val="402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8FB8822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Integralność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4A2652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69847B93" w14:textId="77777777" w:rsidTr="009A160B">
        <w:trPr>
          <w:trHeight w:val="41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AEE6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Więzy integralności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042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więzy integralności. </w:t>
            </w:r>
          </w:p>
        </w:tc>
      </w:tr>
      <w:tr w:rsidR="00F54A3D" w14:paraId="33CDBB1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98C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Dziedziczenie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1D75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dziedziczenie z jednego obiektu do drugiego. </w:t>
            </w:r>
          </w:p>
        </w:tc>
      </w:tr>
      <w:tr w:rsidR="00F54A3D" w14:paraId="069DD1D1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33E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Integralność jednostki i domeny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EB6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narzędzia zapewniające integralność obiektów w bazie danych. </w:t>
            </w:r>
          </w:p>
        </w:tc>
      </w:tr>
      <w:tr w:rsidR="00F54A3D" w14:paraId="403DDA76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EFD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Transakcje paradygmatu ACID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6F7D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natywnie obsługuje transakcje ACID. </w:t>
            </w:r>
          </w:p>
        </w:tc>
      </w:tr>
      <w:tr w:rsidR="00F54A3D" w14:paraId="02BB1F8C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C8B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Regulowana konsystencja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0B3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ostateczne, elastyczne lub </w:t>
            </w:r>
            <w:r w:rsidRPr="00685B99">
              <w:rPr>
                <w:rFonts w:ascii="Calibri" w:eastAsia="Calibri" w:hAnsi="Calibri" w:cs="Calibri"/>
                <w:sz w:val="22"/>
              </w:rPr>
              <w:t xml:space="preserve">modyfikowalne modele spójności Read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Commmitted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Repeatable</w:t>
            </w:r>
            <w:proofErr w:type="spellEnd"/>
            <w:r w:rsidRPr="00685B99">
              <w:rPr>
                <w:rFonts w:ascii="Calibri" w:eastAsia="Calibri" w:hAnsi="Calibri" w:cs="Calibri"/>
                <w:sz w:val="22"/>
              </w:rPr>
              <w:t xml:space="preserve"> Read oraz </w:t>
            </w:r>
            <w:proofErr w:type="spellStart"/>
            <w:r w:rsidRPr="00685B99">
              <w:rPr>
                <w:rFonts w:ascii="Calibri" w:eastAsia="Calibri" w:hAnsi="Calibri" w:cs="Calibri"/>
                <w:sz w:val="22"/>
              </w:rPr>
              <w:t>Serializable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F54A3D" w14:paraId="70E8B113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5DF0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Integralność nierelacyjna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E17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Nie istnieją ograniczenia integralności dotyczące nierelacyjnych typów danych (JSONB, XML itp.) przechowywanych w schemacie bazy danych. </w:t>
            </w:r>
          </w:p>
        </w:tc>
      </w:tr>
      <w:tr w:rsidR="00F54A3D" w:rsidRPr="00927D69" w14:paraId="678AD291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291A" w14:textId="77777777" w:rsidR="00F54A3D" w:rsidRPr="00927D69" w:rsidRDefault="00F54A3D" w:rsidP="009A160B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Wykrywanie zakleszczeń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A662" w14:textId="77777777" w:rsidR="00F54A3D" w:rsidRPr="00927D6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System powinien pozwalań na automatyczne wykrywanie i sygnalizowanie zakleszczeń</w:t>
            </w:r>
          </w:p>
        </w:tc>
      </w:tr>
      <w:tr w:rsidR="00F54A3D" w14:paraId="5BF65BA0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3BD0421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Wydajność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5543EB5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50DE183E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F9F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Optymalizacja zapytań (koszt)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367B2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optymalizator oparty na kosztach. </w:t>
            </w:r>
          </w:p>
        </w:tc>
      </w:tr>
    </w:tbl>
    <w:p w14:paraId="7354D0AC" w14:textId="77777777" w:rsidR="00F54A3D" w:rsidRDefault="00F54A3D" w:rsidP="00F54A3D">
      <w:pPr>
        <w:ind w:left="-1078" w:right="13"/>
      </w:pPr>
    </w:p>
    <w:tbl>
      <w:tblPr>
        <w:tblStyle w:val="Tabela-Siatka1"/>
        <w:tblW w:w="9393" w:type="dxa"/>
        <w:tblInd w:w="10" w:type="dxa"/>
        <w:tblCellMar>
          <w:top w:w="53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3205"/>
        <w:gridCol w:w="6188"/>
      </w:tblGrid>
      <w:tr w:rsidR="00F54A3D" w14:paraId="5D2A1186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41A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Optymalizacja zapytań (statystyki kosztów)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B41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Statystyki są zbierane automatycznie. </w:t>
            </w:r>
          </w:p>
        </w:tc>
      </w:tr>
      <w:tr w:rsidR="00F54A3D" w14:paraId="0715B3F9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F37D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Optymalizacja zapytań (poprawki wersji i aktualizacje)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1E1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Producent systemu bazy danych dostarcza określone funkcje, instrukcje, ostrzeżenia i najlepsze praktyki, gdy poprawki i aktualizacje zmieniają optymalizator zapytań. </w:t>
            </w:r>
          </w:p>
        </w:tc>
      </w:tr>
      <w:tr w:rsidR="00F54A3D" w14:paraId="1052E5C5" w14:textId="77777777" w:rsidTr="009A160B">
        <w:trPr>
          <w:trHeight w:val="40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19D7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Technologia indeksowania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4AC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obsługuje wiele typów indeksów </w:t>
            </w:r>
          </w:p>
        </w:tc>
      </w:tr>
      <w:tr w:rsidR="00F54A3D" w14:paraId="261085FC" w14:textId="77777777" w:rsidTr="009A160B">
        <w:trPr>
          <w:trHeight w:val="194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829E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Partycjonowanie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CF40" w14:textId="77777777" w:rsidR="00F54A3D" w:rsidRDefault="00F54A3D" w:rsidP="009A160B">
            <w:pPr>
              <w:spacing w:after="39" w:line="245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partycjonowanie danych w tabelach. Partycjonowanie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może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być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realizowane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z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użyciem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klucza partycjonowania będącego: </w:t>
            </w:r>
          </w:p>
          <w:p w14:paraId="3A0B9AA6" w14:textId="77777777" w:rsidR="00F54A3D" w:rsidRDefault="00F54A3D" w:rsidP="00F54A3D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zakresem, </w:t>
            </w:r>
          </w:p>
          <w:p w14:paraId="6A38A852" w14:textId="77777777" w:rsidR="00F54A3D" w:rsidRDefault="00F54A3D" w:rsidP="00F54A3D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listą, </w:t>
            </w:r>
          </w:p>
          <w:p w14:paraId="1A9E3FB6" w14:textId="77777777" w:rsidR="00F54A3D" w:rsidRDefault="00F54A3D" w:rsidP="00F54A3D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funkcją haszującą, </w:t>
            </w:r>
          </w:p>
          <w:p w14:paraId="43FEEE80" w14:textId="77777777" w:rsidR="00F54A3D" w:rsidRDefault="00F54A3D" w:rsidP="00F54A3D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interwałem. </w:t>
            </w:r>
          </w:p>
        </w:tc>
      </w:tr>
      <w:tr w:rsidR="00F54A3D" w14:paraId="7D509FFA" w14:textId="77777777" w:rsidTr="009A160B">
        <w:trPr>
          <w:trHeight w:val="410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D41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Indeksy podzielone na partycje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2B0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obsługuje indeksy partycjonowane. </w:t>
            </w:r>
          </w:p>
        </w:tc>
      </w:tr>
      <w:tr w:rsidR="00F54A3D" w14:paraId="4B907E5E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445E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Parametry strojenia ręcznego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7815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Administratorzy baz danych mogą dostroić bazę danych poprzez bezpośrednią zmianę parametrów. </w:t>
            </w:r>
          </w:p>
        </w:tc>
      </w:tr>
      <w:tr w:rsidR="00F54A3D" w14:paraId="6D60FD04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B39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Doradca ds. automatycznego strojenia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80B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Dostarczone są narzędzia do analizy i doradzania w zakresie zmian parametrów. </w:t>
            </w:r>
          </w:p>
        </w:tc>
      </w:tr>
      <w:tr w:rsidR="00F54A3D" w14:paraId="0DD8DC26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76AB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Zautomatyzowane narzędzia do strojenia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4D79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zawiera możliwość automatycznego, ciągłego dostrajania bazy danych bez interwencji Administratora. </w:t>
            </w:r>
          </w:p>
        </w:tc>
      </w:tr>
      <w:tr w:rsidR="00F54A3D" w14:paraId="31BA50E0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525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Zarządzanie i kontrola bufora pamięci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470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umożliwia monitorowanie,  zarządzanie buforem i  zmianę parametrów bufora pamięci. </w:t>
            </w:r>
          </w:p>
        </w:tc>
      </w:tr>
      <w:tr w:rsidR="00F54A3D" w14:paraId="5D39BD59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D74D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Kontrola pamięci klastra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69A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dopuszcza współużytkowane bufory, zmniejszając w ten sposób obciążenie wejścia / wyjścia (I/O) bazy danych. </w:t>
            </w:r>
          </w:p>
        </w:tc>
      </w:tr>
      <w:tr w:rsidR="00F54A3D" w14:paraId="471FF37D" w14:textId="77777777" w:rsidTr="009A160B">
        <w:trPr>
          <w:trHeight w:val="677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FA71" w14:textId="77777777" w:rsidR="00F54A3D" w:rsidRPr="00927D69" w:rsidRDefault="00F54A3D" w:rsidP="009A160B">
            <w:pPr>
              <w:rPr>
                <w:rFonts w:ascii="Calibri" w:eastAsia="Calibri" w:hAnsi="Calibri" w:cs="Calibri"/>
                <w:sz w:val="22"/>
                <w:highlight w:val="cyan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Analiza obciążenia bazy danych pod kątem optymalizacji indeksowania tabel</w:t>
            </w:r>
          </w:p>
          <w:p w14:paraId="3191853D" w14:textId="77777777" w:rsidR="00F54A3D" w:rsidRPr="00927D69" w:rsidRDefault="00F54A3D" w:rsidP="009A160B">
            <w:pPr>
              <w:rPr>
                <w:rFonts w:ascii="Calibri" w:eastAsia="Calibri" w:hAnsi="Calibri" w:cs="Calibri"/>
                <w:sz w:val="22"/>
                <w:highlight w:val="cyan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33E0" w14:textId="77777777" w:rsidR="00F54A3D" w:rsidRPr="00927D69" w:rsidRDefault="00F54A3D" w:rsidP="009A160B">
            <w:pPr>
              <w:rPr>
                <w:rFonts w:ascii="Calibri" w:eastAsia="Calibri" w:hAnsi="Calibri" w:cs="Calibri"/>
                <w:sz w:val="22"/>
                <w:highlight w:val="cyan"/>
              </w:rPr>
            </w:pPr>
            <w:r w:rsidRPr="00685B99">
              <w:rPr>
                <w:rFonts w:ascii="Calibri" w:eastAsia="Calibri" w:hAnsi="Calibri" w:cs="Calibri"/>
                <w:sz w:val="22"/>
              </w:rPr>
              <w:t>Możliwość kolekcjonowania instrukcji SQL uruchamianych w bazie danych, uzyskania ich charakterystyk wykonania oraz uruchomienia analizy indeksowania tabel w celu uzyskania usprawnienia wydajności</w:t>
            </w:r>
          </w:p>
        </w:tc>
      </w:tr>
      <w:tr w:rsidR="00F54A3D" w14:paraId="1E6E4220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D775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Kontrola pamięci masowej do umieszczania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5D3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Baza danych pozwala na umieszczanie danych w określonych lokalizacjach przechowywania. Obejmuje to również usuwanie danych pod kątem wydajności. </w:t>
            </w:r>
          </w:p>
        </w:tc>
      </w:tr>
      <w:tr w:rsidR="00F54A3D" w14:paraId="69B2223D" w14:textId="77777777" w:rsidTr="009A160B">
        <w:trPr>
          <w:trHeight w:val="94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7BE0" w14:textId="77777777" w:rsidR="00F54A3D" w:rsidRDefault="00F54A3D" w:rsidP="009A160B">
            <w:pPr>
              <w:ind w:right="30"/>
            </w:pPr>
            <w:r>
              <w:rPr>
                <w:rFonts w:ascii="Calibri" w:eastAsia="Calibri" w:hAnsi="Calibri" w:cs="Calibri"/>
                <w:sz w:val="22"/>
              </w:rPr>
              <w:t xml:space="preserve">Równoległe wykonywanie zapytań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075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 celu zwiększenia wydajności System bazy danych umożliwia zrównoleglanie pojedynczych zapytań, aby działały na wielu procesorach w tym samym czasie. </w:t>
            </w:r>
          </w:p>
        </w:tc>
      </w:tr>
      <w:tr w:rsidR="00F54A3D" w14:paraId="12BDD59E" w14:textId="77777777" w:rsidTr="009A160B">
        <w:trPr>
          <w:trHeight w:val="679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8809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Paralelizm instrukcji bazy danych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C39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System bazy danych używa wewnętrznego paralelizmu instrukcji w wielu nowoczesnych układach procesora. </w:t>
            </w:r>
          </w:p>
        </w:tc>
      </w:tr>
    </w:tbl>
    <w:p w14:paraId="17B8C181" w14:textId="77777777" w:rsidR="00F54A3D" w:rsidRDefault="00F54A3D" w:rsidP="00F54A3D">
      <w:pPr>
        <w:ind w:left="-1078" w:right="15"/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F54A3D" w14:paraId="5F6273F6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420B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Równoległe wykonywanie narzędzi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144C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Narzędzia takie jak tworzenie kopii zapasowych i odzyskiwanie danych, odzyskiwanie wolnego miejsca i odbudowywanie indeksu mogą być uruchamiane równolegle. </w:t>
            </w:r>
          </w:p>
        </w:tc>
      </w:tr>
      <w:tr w:rsidR="00F54A3D" w14:paraId="6C5C3659" w14:textId="77777777" w:rsidTr="009A160B">
        <w:trPr>
          <w:trHeight w:val="672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F0781BA" w14:textId="77777777" w:rsidR="00F54A3D" w:rsidRDefault="00F54A3D" w:rsidP="009A160B">
            <w:pPr>
              <w:ind w:right="8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Możliwości relacyjne, zgodność ze standardami i rozszerzalność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3E08A2D9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467E39CE" w14:textId="77777777" w:rsidTr="009A160B">
        <w:trPr>
          <w:trHeight w:val="141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D42B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Typy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3563" w14:textId="77777777" w:rsidR="00F54A3D" w:rsidRDefault="00F54A3D" w:rsidP="009A160B">
            <w:pPr>
              <w:spacing w:after="24"/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Dostępne są typy danych umożliwiające: </w:t>
            </w:r>
          </w:p>
          <w:p w14:paraId="5FC9E08B" w14:textId="77777777" w:rsidR="00F54A3D" w:rsidRDefault="00F54A3D" w:rsidP="00F54A3D">
            <w:pPr>
              <w:numPr>
                <w:ilvl w:val="0"/>
                <w:numId w:val="16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przechowywanie długich danych tekstowych, </w:t>
            </w:r>
          </w:p>
          <w:p w14:paraId="5EB81C92" w14:textId="77777777" w:rsidR="00F54A3D" w:rsidRDefault="00F54A3D" w:rsidP="00F54A3D">
            <w:pPr>
              <w:numPr>
                <w:ilvl w:val="0"/>
                <w:numId w:val="16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liczb całkowitych oraz zmiennoprzecinkowych, </w:t>
            </w:r>
          </w:p>
          <w:p w14:paraId="582CF257" w14:textId="77777777" w:rsidR="00F54A3D" w:rsidRDefault="00F54A3D" w:rsidP="00F54A3D">
            <w:pPr>
              <w:numPr>
                <w:ilvl w:val="0"/>
                <w:numId w:val="16"/>
              </w:numPr>
              <w:spacing w:after="1"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dat, </w:t>
            </w:r>
          </w:p>
          <w:p w14:paraId="4F59E39F" w14:textId="77777777" w:rsidR="00F54A3D" w:rsidRDefault="00F54A3D" w:rsidP="00F54A3D">
            <w:pPr>
              <w:numPr>
                <w:ilvl w:val="0"/>
                <w:numId w:val="16"/>
              </w:numPr>
              <w:spacing w:line="259" w:lineRule="auto"/>
              <w:ind w:hanging="360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timestamp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-ów wraz ze wskazaniem strefy czasowej. </w:t>
            </w:r>
          </w:p>
        </w:tc>
      </w:tr>
      <w:tr w:rsidR="00F54A3D" w14:paraId="4B86EBFE" w14:textId="77777777" w:rsidTr="009A160B">
        <w:trPr>
          <w:trHeight w:val="40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750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Zgodność z ANSI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0AD9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standardowy ANSI SQL. </w:t>
            </w:r>
          </w:p>
        </w:tc>
      </w:tr>
      <w:tr w:rsidR="00F54A3D" w14:paraId="57D426FF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3BDA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Zgodność interfejsu ODBC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E619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ODBC jako standardowy interfejs. </w:t>
            </w:r>
          </w:p>
        </w:tc>
      </w:tr>
      <w:tr w:rsidR="00F54A3D" w14:paraId="738AAE69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8DD4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Zgodność interfejsu JDBC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C21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JDBC jako standardowy interfejs. </w:t>
            </w:r>
          </w:p>
        </w:tc>
      </w:tr>
      <w:tr w:rsidR="00F54A3D" w14:paraId="7EA5AB2B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EC3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Typy danych przestrzennych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B5A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natywne typy danych przestrzennych. </w:t>
            </w:r>
          </w:p>
        </w:tc>
      </w:tr>
      <w:tr w:rsidR="00F54A3D" w14:paraId="15343D2B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9937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Przestrzenne rozszerzenia danych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6B1E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zawiera natywną funkcjonalność SQL do obsługi typów danych przestrzennych.  </w:t>
            </w:r>
          </w:p>
        </w:tc>
      </w:tr>
      <w:tr w:rsidR="00F54A3D" w14:paraId="29D9193D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685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Wsparcie dla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BLOBs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DF97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duże obiekty binarne (BLOB). </w:t>
            </w:r>
          </w:p>
        </w:tc>
      </w:tr>
      <w:tr w:rsidR="00F54A3D" w14:paraId="3DCB1767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F10F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Wsparcie dla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CLOBs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934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duże obiekty znaków (CLOB). </w:t>
            </w:r>
          </w:p>
        </w:tc>
      </w:tr>
      <w:tr w:rsidR="00F54A3D" w14:paraId="15CF2764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AEC0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innych dużych obiektów (LOB)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5B78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inne typy LOB dla plików multimedialnych. </w:t>
            </w:r>
          </w:p>
        </w:tc>
      </w:tr>
      <w:tr w:rsidR="00F54A3D" w14:paraId="5FA61502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6DD47" w14:textId="77777777" w:rsidR="00F54A3D" w:rsidRDefault="00F54A3D" w:rsidP="009A160B">
            <w:proofErr w:type="spellStart"/>
            <w:r>
              <w:rPr>
                <w:rFonts w:ascii="Calibri" w:eastAsia="Calibri" w:hAnsi="Calibri" w:cs="Calibri"/>
                <w:sz w:val="22"/>
              </w:rPr>
              <w:t>Multimodel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BE3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wiele modeli danych lub obiektów natywnie w systemie plików bazy danych.  </w:t>
            </w:r>
          </w:p>
        </w:tc>
      </w:tr>
      <w:tr w:rsidR="00F54A3D" w14:paraId="20366DA2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C85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Obsługa formatu JSON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960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Format JSON jest obsługiwany jako obiekt natywny. JSON może być wstawiany, aktualizowany i odpytywany jako w pełni kwalifikowany obiekt (atrybuty, listy / tablice itp.) </w:t>
            </w:r>
          </w:p>
        </w:tc>
      </w:tr>
      <w:tr w:rsidR="00F54A3D" w14:paraId="05C51895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96E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formatu XML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C8F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XML w natywnej pamięci binarnej. </w:t>
            </w:r>
          </w:p>
        </w:tc>
      </w:tr>
      <w:tr w:rsidR="00F54A3D" w14:paraId="3192955B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CC5F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Wspieranie fragmentów XML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C3FD" w14:textId="77777777" w:rsidR="00F54A3D" w:rsidRDefault="00F54A3D" w:rsidP="009A160B">
            <w:pPr>
              <w:ind w:left="4" w:right="14"/>
            </w:pPr>
            <w:r>
              <w:rPr>
                <w:rFonts w:ascii="Calibri" w:eastAsia="Calibri" w:hAnsi="Calibri" w:cs="Calibri"/>
                <w:sz w:val="22"/>
              </w:rPr>
              <w:t xml:space="preserve">Baza danych ma wbudowaną funkcjonalność obsługującą fragmenty XML. </w:t>
            </w:r>
          </w:p>
        </w:tc>
      </w:tr>
      <w:tr w:rsidR="00F54A3D" w14:paraId="75B9B2BF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92BB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Obsługa plików multimedialnych, innych nierelacyjnych i innych niż XML plików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057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pozwala na bezpośrednie przechowywanie w bazie danych innych typów danych (takich jak audio, wideo, multimedia i dane biometryczne). </w:t>
            </w:r>
          </w:p>
        </w:tc>
      </w:tr>
      <w:tr w:rsidR="00F54A3D" w14:paraId="68CCF9D1" w14:textId="77777777" w:rsidTr="009A160B">
        <w:trPr>
          <w:trHeight w:val="1215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B52E1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Bezpośrednie połączenie do bazy danych plików multimedialnych, nie relacyjnych i nie-XML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6790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pozwala na bezpośrednie połączenie z bazą danych innych typów danych (takich jak audio, wideo, multimedialne i biometryczne) przechowywanych w plikach zewnętrznych. </w:t>
            </w:r>
          </w:p>
        </w:tc>
      </w:tr>
      <w:tr w:rsidR="00F54A3D" w14:paraId="4737F3A9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C68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Funkcje zdefiniowane przez użytkownika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50FB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Można tworzyć funkcje zdefiniowane przez użytkownika. </w:t>
            </w:r>
          </w:p>
        </w:tc>
      </w:tr>
    </w:tbl>
    <w:p w14:paraId="488B65B3" w14:textId="77777777" w:rsidR="00F54A3D" w:rsidRDefault="00F54A3D" w:rsidP="00F54A3D">
      <w:pPr>
        <w:ind w:left="-1078" w:right="15"/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F54A3D" w:rsidRPr="00A652F2" w14:paraId="6E475987" w14:textId="77777777" w:rsidTr="009A160B">
        <w:trPr>
          <w:trHeight w:val="1961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94C8F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Standardy SQL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D33" w14:textId="77777777" w:rsidR="00F54A3D" w:rsidRDefault="00F54A3D" w:rsidP="009A160B">
            <w:pPr>
              <w:spacing w:after="24"/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wspiera następujące standardy SQL:2003: </w:t>
            </w:r>
          </w:p>
          <w:p w14:paraId="5154996F" w14:textId="77777777" w:rsidR="00F54A3D" w:rsidRPr="00927D69" w:rsidRDefault="00F54A3D" w:rsidP="00F54A3D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lang w:val="en-US"/>
              </w:rPr>
            </w:pPr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ISO/IEC 9075-1 Framework (SQL/Framework), </w:t>
            </w:r>
          </w:p>
          <w:p w14:paraId="358F2219" w14:textId="77777777" w:rsidR="00F54A3D" w:rsidRPr="00927D69" w:rsidRDefault="00F54A3D" w:rsidP="00F54A3D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lang w:val="en-US"/>
              </w:rPr>
            </w:pPr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ISO/IEC 9075-2 Foundation (SQL/Foundation), </w:t>
            </w:r>
          </w:p>
          <w:p w14:paraId="4F1BECB4" w14:textId="77777777" w:rsidR="00F54A3D" w:rsidRPr="00927D69" w:rsidRDefault="00F54A3D" w:rsidP="00F54A3D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lang w:val="en-US"/>
              </w:rPr>
            </w:pPr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ISO/IEC 9075-9 Management of External Data (SQL/MED), </w:t>
            </w:r>
          </w:p>
          <w:p w14:paraId="7D548423" w14:textId="77777777" w:rsidR="00F54A3D" w:rsidRPr="00927D69" w:rsidRDefault="00F54A3D" w:rsidP="00F54A3D">
            <w:pPr>
              <w:numPr>
                <w:ilvl w:val="0"/>
                <w:numId w:val="17"/>
              </w:numPr>
              <w:spacing w:after="46"/>
              <w:ind w:hanging="360"/>
              <w:rPr>
                <w:lang w:val="en-US"/>
              </w:rPr>
            </w:pPr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ISO/IEC 9075-11 Information and Definition Schemas (SQL/Schemata), </w:t>
            </w:r>
          </w:p>
          <w:p w14:paraId="2E5E2F3F" w14:textId="77777777" w:rsidR="00F54A3D" w:rsidRPr="00927D69" w:rsidRDefault="00F54A3D" w:rsidP="00F54A3D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lang w:val="en-US"/>
              </w:rPr>
            </w:pPr>
            <w:r w:rsidRPr="00927D69">
              <w:rPr>
                <w:rFonts w:ascii="Calibri" w:eastAsia="Calibri" w:hAnsi="Calibri" w:cs="Calibri"/>
                <w:sz w:val="22"/>
                <w:lang w:val="en-US"/>
              </w:rPr>
              <w:t xml:space="preserve">ISO/IEC 9075-14 XML-related specifications (SQL/XML). </w:t>
            </w:r>
          </w:p>
        </w:tc>
      </w:tr>
      <w:tr w:rsidR="00F54A3D" w14:paraId="7E6D949E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42817C" w14:textId="77777777" w:rsidR="00F54A3D" w:rsidRDefault="00F54A3D" w:rsidP="009A160B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NoSQL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i powiązane możliwości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C6E4C30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774ED55E" w14:textId="77777777" w:rsidTr="009A160B">
        <w:trPr>
          <w:trHeight w:val="94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60AB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Magazynowanie dokumentów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84FE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ma możliwości przechowywania dokumentów (JSON, XML itp.). Jest to natywna implementacja w rozszerzeniu modelu relacyjnego. </w:t>
            </w:r>
          </w:p>
        </w:tc>
      </w:tr>
      <w:tr w:rsidR="00F54A3D" w14:paraId="67C9DEF5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C5FA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Styl tabeli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324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funkcje w stylu tabeli. Jest to natywna implementacja. </w:t>
            </w:r>
          </w:p>
        </w:tc>
      </w:tr>
      <w:tr w:rsidR="00F54A3D" w14:paraId="6A2ECC42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B4A2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Klucz wartość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6CC7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funkcje klucz-wartość. Jest to rozszerzenie modelu relacyjnego w odniesieniu do możliwości i ograniczeń. </w:t>
            </w:r>
          </w:p>
        </w:tc>
      </w:tr>
      <w:tr w:rsidR="00F54A3D" w14:paraId="33064122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EE22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Integracja z HDFS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213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pozyskiwanie danych z HDFS i eksportowanie danych do HDFS.  </w:t>
            </w:r>
          </w:p>
        </w:tc>
      </w:tr>
      <w:tr w:rsidR="00F54A3D" w14:paraId="5FAECA47" w14:textId="77777777" w:rsidTr="009A160B">
        <w:trPr>
          <w:trHeight w:val="41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87B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Integracja ze Spark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A96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Baza danych obsługuje integrację ze Spark. </w:t>
            </w:r>
          </w:p>
        </w:tc>
      </w:tr>
      <w:tr w:rsidR="00F54A3D" w14:paraId="369D5EBA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F92FB48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Skalowalność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4BECBCD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62126675" w14:textId="77777777" w:rsidTr="009A160B">
        <w:trPr>
          <w:trHeight w:val="67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7C496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Architektura skalowalna w pionie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7F1E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środowisko skalowane w górę (SMP).  </w:t>
            </w:r>
          </w:p>
        </w:tc>
      </w:tr>
      <w:tr w:rsidR="00F54A3D" w14:paraId="615354C7" w14:textId="77777777" w:rsidTr="009A160B">
        <w:trPr>
          <w:trHeight w:val="94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780F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Partycjonowanie / fragmentowanie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C452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służy do skalowania dużych baz danych przy użyciu standardowych partycji, takich jak zakres dat. Funkcja nie wiąże się z dodatkowymi kosztami. </w:t>
            </w:r>
          </w:p>
        </w:tc>
      </w:tr>
      <w:tr w:rsidR="00F54A3D" w14:paraId="21A2D20B" w14:textId="77777777" w:rsidTr="009A160B">
        <w:trPr>
          <w:trHeight w:val="408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521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Szybkie ładowanie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7F70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Umożliwia masowe ładowanie danych do bazy danych.  </w:t>
            </w:r>
          </w:p>
        </w:tc>
      </w:tr>
      <w:tr w:rsidR="00F54A3D" w14:paraId="346407B0" w14:textId="77777777" w:rsidTr="009A160B">
        <w:trPr>
          <w:trHeight w:val="1633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A84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Ograniczenia dotyczące tabel i innych obiektów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225A" w14:textId="77777777" w:rsidR="00F54A3D" w:rsidRDefault="00F54A3D" w:rsidP="009A160B">
            <w:pPr>
              <w:spacing w:after="3" w:line="237" w:lineRule="auto"/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posiada następujące parametry pojemnościowe: </w:t>
            </w:r>
          </w:p>
          <w:p w14:paraId="4E46B508" w14:textId="77777777" w:rsidR="00F54A3D" w:rsidRDefault="00F54A3D" w:rsidP="00F54A3D">
            <w:pPr>
              <w:numPr>
                <w:ilvl w:val="0"/>
                <w:numId w:val="18"/>
              </w:numPr>
              <w:spacing w:line="259" w:lineRule="auto"/>
              <w:ind w:left="122" w:hanging="118"/>
            </w:pPr>
            <w:r>
              <w:rPr>
                <w:rFonts w:ascii="Calibri" w:eastAsia="Calibri" w:hAnsi="Calibri" w:cs="Calibri"/>
                <w:sz w:val="22"/>
              </w:rPr>
              <w:t xml:space="preserve">rozmiar tabeli: min. 32TB </w:t>
            </w:r>
          </w:p>
          <w:p w14:paraId="099BC1AF" w14:textId="77777777" w:rsidR="00F54A3D" w:rsidRDefault="00F54A3D" w:rsidP="00F54A3D">
            <w:pPr>
              <w:numPr>
                <w:ilvl w:val="0"/>
                <w:numId w:val="18"/>
              </w:numPr>
              <w:spacing w:line="259" w:lineRule="auto"/>
              <w:ind w:left="122" w:hanging="118"/>
            </w:pPr>
            <w:r>
              <w:rPr>
                <w:rFonts w:ascii="Calibri" w:eastAsia="Calibri" w:hAnsi="Calibri" w:cs="Calibri"/>
                <w:sz w:val="22"/>
              </w:rPr>
              <w:t xml:space="preserve">rozmiar wiersza: min. 1.6TB </w:t>
            </w:r>
          </w:p>
          <w:p w14:paraId="37621EE2" w14:textId="77777777" w:rsidR="00F54A3D" w:rsidRDefault="00F54A3D" w:rsidP="00F54A3D">
            <w:pPr>
              <w:numPr>
                <w:ilvl w:val="0"/>
                <w:numId w:val="18"/>
              </w:numPr>
              <w:spacing w:line="259" w:lineRule="auto"/>
              <w:ind w:left="122" w:hanging="118"/>
            </w:pPr>
            <w:r>
              <w:rPr>
                <w:rFonts w:ascii="Calibri" w:eastAsia="Calibri" w:hAnsi="Calibri" w:cs="Calibri"/>
                <w:sz w:val="22"/>
              </w:rPr>
              <w:t xml:space="preserve">rozmiar pola: min. 1GB </w:t>
            </w:r>
          </w:p>
          <w:p w14:paraId="4A478271" w14:textId="77777777" w:rsidR="00F54A3D" w:rsidRDefault="00F54A3D" w:rsidP="00F54A3D">
            <w:pPr>
              <w:numPr>
                <w:ilvl w:val="0"/>
                <w:numId w:val="18"/>
              </w:numPr>
              <w:spacing w:line="259" w:lineRule="auto"/>
              <w:ind w:left="122" w:hanging="118"/>
            </w:pPr>
            <w:r>
              <w:rPr>
                <w:rFonts w:ascii="Calibri" w:eastAsia="Calibri" w:hAnsi="Calibri" w:cs="Calibri"/>
                <w:sz w:val="22"/>
              </w:rPr>
              <w:t xml:space="preserve">ilość wierszy w tabeli: bez limitu </w:t>
            </w:r>
          </w:p>
        </w:tc>
      </w:tr>
    </w:tbl>
    <w:p w14:paraId="7C87AE38" w14:textId="77777777" w:rsidR="00F54A3D" w:rsidRDefault="00F54A3D" w:rsidP="00F54A3D">
      <w:pPr>
        <w:ind w:left="-1078" w:right="15"/>
      </w:pP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3201"/>
        <w:gridCol w:w="6187"/>
      </w:tblGrid>
      <w:tr w:rsidR="00F54A3D" w14:paraId="79DD1E66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C339EE3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Bezpieczeństwo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63771A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46E128C2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15DC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Szyfrowanie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547D" w14:textId="77777777" w:rsidR="00F54A3D" w:rsidRDefault="00F54A3D" w:rsidP="009A160B">
            <w:pPr>
              <w:ind w:left="4"/>
            </w:pPr>
            <w:r w:rsidRPr="00927D69">
              <w:rPr>
                <w:rFonts w:ascii="Calibri" w:eastAsia="Calibri" w:hAnsi="Calibri" w:cs="Calibri"/>
                <w:sz w:val="22"/>
              </w:rPr>
              <w:t>System bazy danych obsługuje szyfrowanie danych składowanych na dysku (AES-128 oraz AES-256) oraz integracji z zewnętrznymi systemami zarządzania kluczami szyfrującymi.</w:t>
            </w:r>
          </w:p>
        </w:tc>
      </w:tr>
      <w:tr w:rsidR="00F54A3D" w14:paraId="39E971D0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5834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Zaciemnienie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FF3B" w14:textId="77777777" w:rsidR="00F54A3D" w:rsidRPr="00927D6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System bazy danych może natywnie zaciemniać lub zakrywać zawartość kolumn zawierających dane wrażliwe w oparciu o zdefiniowane polityki bezpieczeństwa.</w:t>
            </w:r>
          </w:p>
          <w:p w14:paraId="6B4E679A" w14:textId="77777777" w:rsidR="00F54A3D" w:rsidRDefault="00F54A3D" w:rsidP="009A160B">
            <w:pPr>
              <w:ind w:left="4"/>
            </w:pPr>
          </w:p>
        </w:tc>
      </w:tr>
      <w:tr w:rsidR="00F54A3D" w14:paraId="1A9B0D25" w14:textId="77777777" w:rsidTr="009A160B">
        <w:trPr>
          <w:trHeight w:val="410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FD92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Archiwum audytu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AF0B" w14:textId="77777777" w:rsidR="00F54A3D" w:rsidRPr="00927D69" w:rsidRDefault="00F54A3D" w:rsidP="009A160B">
            <w:pPr>
              <w:ind w:left="4"/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System bazy danych posiada funkcję archiwizacji danych audytu.</w:t>
            </w:r>
          </w:p>
        </w:tc>
      </w:tr>
      <w:tr w:rsidR="00F54A3D" w14:paraId="15A5FA5F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F73E" w14:textId="77777777" w:rsidR="00F54A3D" w:rsidRDefault="00F54A3D" w:rsidP="009A160B">
            <w:pPr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Brak haseł użytkowników w zapisach audytowych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E535" w14:textId="77777777" w:rsidR="00F54A3D" w:rsidRDefault="00F54A3D" w:rsidP="009A160B">
            <w:pPr>
              <w:ind w:left="4" w:right="32"/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System bazy danych powinien pozwalać na zaciemnienie haseł użytkowników w logach audytowych (dot. instrukcji SQL tworzących lub zmieniających hasło użytkownika bazy danych)</w:t>
            </w:r>
          </w:p>
        </w:tc>
      </w:tr>
      <w:tr w:rsidR="00F54A3D" w14:paraId="0B4AB369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2D95E" w14:textId="77777777" w:rsidR="00F54A3D" w:rsidRDefault="00F54A3D" w:rsidP="009A160B">
            <w:pPr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Możliwość selektywnego audytu dostępu lub modyfikacji danych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9B03C" w14:textId="77777777" w:rsidR="00F54A3D" w:rsidRDefault="00F54A3D" w:rsidP="009A160B">
            <w:pPr>
              <w:ind w:left="4" w:right="32"/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System bazy danych powinien umożliwiać na definiowanie polityk audytu dostępu do danych z indywidualnych tabel bazy danych, z możliwością rozróżnienia operacji SELECT, INSERT, UPDATE, DELETE</w:t>
            </w:r>
          </w:p>
        </w:tc>
      </w:tr>
      <w:tr w:rsidR="00F54A3D" w14:paraId="2F76E30A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16CCE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Uwierzytelnianie użytkownika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F460" w14:textId="77777777" w:rsidR="00F54A3D" w:rsidRDefault="00F54A3D" w:rsidP="009A160B">
            <w:pPr>
              <w:ind w:left="4" w:right="32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formę uwierzytelniania użytkownika. </w:t>
            </w:r>
          </w:p>
        </w:tc>
      </w:tr>
      <w:tr w:rsidR="00F54A3D" w14:paraId="54214D76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BA24" w14:textId="77777777" w:rsidR="00F54A3D" w:rsidRDefault="00F54A3D" w:rsidP="009A160B">
            <w:pPr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Kontrola bezpieczeństwa konta użytkownika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EA2A" w14:textId="77777777" w:rsidR="00F54A3D" w:rsidRDefault="00F54A3D" w:rsidP="009A160B">
            <w:pPr>
              <w:ind w:left="4" w:right="32"/>
              <w:rPr>
                <w:rFonts w:ascii="Calibri" w:eastAsia="Calibri" w:hAnsi="Calibri" w:cs="Calibri"/>
                <w:sz w:val="22"/>
              </w:rPr>
            </w:pPr>
            <w:r w:rsidRPr="00927D69">
              <w:rPr>
                <w:rFonts w:ascii="Calibri" w:eastAsia="Calibri" w:hAnsi="Calibri" w:cs="Calibri"/>
                <w:sz w:val="22"/>
              </w:rPr>
              <w:t>System bazy danych powinien umożliwiać wymuszenia okresowej zmiany oraz złożoności hasła użytkownika i ponadto zapobiegać jego ponownemu użyciu. Dodatkowo powinno być możliwe automatyczne blokowanie konta użytkownika po przekroczeniu skonfigurowanego limitu maksymalnej dopuszczalnej liczby błędnych prób logowania do bazy danych.</w:t>
            </w:r>
          </w:p>
        </w:tc>
      </w:tr>
      <w:tr w:rsidR="00F54A3D" w14:paraId="4DE058CC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799E" w14:textId="77777777" w:rsidR="00F54A3D" w:rsidRDefault="00F54A3D" w:rsidP="009A160B">
            <w:pPr>
              <w:ind w:right="43"/>
            </w:pPr>
            <w:r>
              <w:rPr>
                <w:rFonts w:ascii="Calibri" w:eastAsia="Calibri" w:hAnsi="Calibri" w:cs="Calibri"/>
                <w:sz w:val="22"/>
              </w:rPr>
              <w:t xml:space="preserve">Kontrola dostępu oparta na rolach (RBAC)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5C65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kontrolę dostępu do poszczególnych elementów danych opartą na rolach. </w:t>
            </w:r>
          </w:p>
        </w:tc>
      </w:tr>
      <w:tr w:rsidR="00F54A3D" w14:paraId="00B7BBAE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563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Bezpieczeństwo obiektów bazy danych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2A9D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Bezpieczeństwo na poziomie obiektu bazy danych (na przykład tabele i indeksy) </w:t>
            </w:r>
          </w:p>
        </w:tc>
      </w:tr>
      <w:tr w:rsidR="00F54A3D" w14:paraId="534E2897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B23E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Bezpieczeństwo na poziomie wiersza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DB88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zabezpieczenia na poziomie wiersza. </w:t>
            </w:r>
          </w:p>
        </w:tc>
      </w:tr>
      <w:tr w:rsidR="00F54A3D" w14:paraId="13F8195C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1AF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Bezpieczeństwo na poziomie kolumny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F8E6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System bazy danych obsługuje zabezpieczenia na poziomie kolumn. </w:t>
            </w:r>
          </w:p>
        </w:tc>
      </w:tr>
      <w:tr w:rsidR="00F54A3D" w14:paraId="357279E3" w14:textId="77777777" w:rsidTr="009A160B">
        <w:trPr>
          <w:trHeight w:val="67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19A8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Bezpieczeństwo na poziomie grupy użytkowników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1875A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Aby uprościć zarządzanie użytkownicy mogą być pogrupowani według działów funkcjonalnych lub innych organizacji. </w:t>
            </w:r>
          </w:p>
        </w:tc>
      </w:tr>
      <w:tr w:rsidR="00F54A3D" w14:paraId="3D68FD2D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3BACC6A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Kopie zapasowe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040B4E8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</w:t>
            </w:r>
          </w:p>
        </w:tc>
      </w:tr>
      <w:tr w:rsidR="00F54A3D" w14:paraId="5AD8012C" w14:textId="77777777" w:rsidTr="009A160B">
        <w:trPr>
          <w:trHeight w:val="194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57977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Typy kopii zapasowych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CD6E" w14:textId="77777777" w:rsidR="00F54A3D" w:rsidRDefault="00F54A3D" w:rsidP="009A160B">
            <w:pPr>
              <w:spacing w:after="24"/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Możliwe jest wykonanie kopii zapasowych w trybach: </w:t>
            </w:r>
          </w:p>
          <w:p w14:paraId="6CC2D0E5" w14:textId="77777777" w:rsidR="00F54A3D" w:rsidRDefault="00F54A3D" w:rsidP="00F54A3D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>całościowym po wyłączeniu bazy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cold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backup), </w:t>
            </w:r>
          </w:p>
          <w:p w14:paraId="08D4DC87" w14:textId="77777777" w:rsidR="00F54A3D" w:rsidRDefault="00F54A3D" w:rsidP="00F54A3D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całościowym podczas działania bazy (hot backup), </w:t>
            </w:r>
          </w:p>
          <w:p w14:paraId="691CD9EB" w14:textId="77777777" w:rsidR="00F54A3D" w:rsidRDefault="00F54A3D" w:rsidP="00F54A3D">
            <w:pPr>
              <w:numPr>
                <w:ilvl w:val="0"/>
                <w:numId w:val="19"/>
              </w:numPr>
              <w:spacing w:after="46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inkrementalnym kumulowanym - zmiany od ostatniego całościowego, </w:t>
            </w:r>
          </w:p>
          <w:p w14:paraId="12E0F307" w14:textId="77777777" w:rsidR="00F54A3D" w:rsidRDefault="00F54A3D" w:rsidP="00F54A3D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  <w:sz w:val="22"/>
              </w:rPr>
              <w:t xml:space="preserve">inkrementalnym różnicowym - zmiany od ostatniego przyrostowego. </w:t>
            </w:r>
          </w:p>
        </w:tc>
      </w:tr>
      <w:tr w:rsidR="00F54A3D" w14:paraId="65BFD6E1" w14:textId="77777777" w:rsidTr="009A160B">
        <w:trPr>
          <w:trHeight w:val="136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1E694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Narzędzia backupu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7D53" w14:textId="77777777" w:rsidR="00F54A3D" w:rsidRDefault="00F54A3D" w:rsidP="009A160B">
            <w:pPr>
              <w:ind w:left="4" w:right="46"/>
            </w:pPr>
            <w:r>
              <w:rPr>
                <w:rFonts w:ascii="Calibri" w:eastAsia="Calibri" w:hAnsi="Calibri" w:cs="Calibri"/>
                <w:sz w:val="22"/>
              </w:rPr>
              <w:t xml:space="preserve">W ramach narzędzi do tworzenia kopii zapasowych jest możliwość wykonania pełnego backupu bazy podczas działania bazy oraz wykonanie przywrócenia w dowolnym punkcie czasu (point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time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recovery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lub dowolnej transakcji z pełnego backupu lub backupu przyrostowego. </w:t>
            </w:r>
          </w:p>
        </w:tc>
      </w:tr>
      <w:tr w:rsidR="00F54A3D" w14:paraId="31E63BB0" w14:textId="77777777" w:rsidTr="009A160B">
        <w:trPr>
          <w:trHeight w:val="404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BA36E00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Licencje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7BFBDE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</w:t>
            </w:r>
          </w:p>
        </w:tc>
      </w:tr>
      <w:tr w:rsidR="00F54A3D" w14:paraId="0EC36D0A" w14:textId="77777777" w:rsidTr="009A160B">
        <w:trPr>
          <w:trHeight w:val="559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9BD0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Typ licencji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6256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Zamawiający wymaga dostarczenia licencji na minimum 36 miesięcy. </w:t>
            </w:r>
          </w:p>
        </w:tc>
      </w:tr>
      <w:tr w:rsidR="00F54A3D" w14:paraId="44AD2292" w14:textId="77777777" w:rsidTr="009A160B">
        <w:trPr>
          <w:trHeight w:val="557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ACC68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Zakres licencji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9F54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Dostarczona licencja musi obejmować wszystkie wymienione funkcjonalności. </w:t>
            </w:r>
          </w:p>
        </w:tc>
      </w:tr>
      <w:tr w:rsidR="00F54A3D" w14:paraId="32E926F5" w14:textId="77777777" w:rsidTr="009A160B">
        <w:trPr>
          <w:trHeight w:val="826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418B3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Limit licencji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66D1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W ramach dostarczonej licencji Zamawiający będzie posiadał prawo do zainstalowania nieograniczonej liczby instancji bazy danych bez ograniczeń sprzętowych na środowiskach Zamawiającego. </w:t>
            </w:r>
          </w:p>
        </w:tc>
      </w:tr>
    </w:tbl>
    <w:p w14:paraId="35886656" w14:textId="77777777" w:rsidR="00F54A3D" w:rsidRDefault="00F54A3D" w:rsidP="00F54A3D"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ela-Siatka1"/>
        <w:tblW w:w="9388" w:type="dxa"/>
        <w:tblInd w:w="12" w:type="dxa"/>
        <w:tblCellMar>
          <w:top w:w="50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3533"/>
        <w:gridCol w:w="5855"/>
      </w:tblGrid>
      <w:tr w:rsidR="00F54A3D" w14:paraId="01C72A1A" w14:textId="77777777" w:rsidTr="009A160B">
        <w:trPr>
          <w:trHeight w:val="403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14:paraId="4CCAC935" w14:textId="77777777" w:rsidR="00F54A3D" w:rsidRDefault="00F54A3D" w:rsidP="009A160B"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Gwarancja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14:paraId="1A95D989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 </w:t>
            </w:r>
          </w:p>
        </w:tc>
      </w:tr>
      <w:tr w:rsidR="00F54A3D" w14:paraId="0CA76A7D" w14:textId="77777777" w:rsidTr="009A160B">
        <w:trPr>
          <w:trHeight w:val="1217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A6C5F1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Dostęp do nowych wersji i poprawek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4859F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Dostęp do strony producenta zawierającej aktualizacje </w:t>
            </w:r>
          </w:p>
          <w:p w14:paraId="2D86F1CA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Oprogramowania, w szczególności nowe wersje </w:t>
            </w:r>
          </w:p>
          <w:p w14:paraId="2CF6A1BC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Oprogramowania, wersje podwyższone, wydania uzupełniające oraz poprawki programistyczne. </w:t>
            </w:r>
          </w:p>
        </w:tc>
      </w:tr>
      <w:tr w:rsidR="00F54A3D" w14:paraId="0F64E985" w14:textId="77777777" w:rsidTr="009A160B">
        <w:trPr>
          <w:trHeight w:val="3461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ACF1F0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Wsparcie zamawiającego w trybie 24 godziny/7 dni w tygodniu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A4454" w14:textId="77777777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Wsparcie producenta:</w:t>
            </w:r>
            <w:r w:rsidRPr="02B6365F">
              <w:rPr>
                <w:sz w:val="22"/>
                <w:szCs w:val="22"/>
              </w:rPr>
              <w:t xml:space="preserve"> </w:t>
            </w:r>
          </w:p>
          <w:p w14:paraId="3A708017" w14:textId="429416DC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S1: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2B6365F">
              <w:rPr>
                <w:sz w:val="22"/>
                <w:szCs w:val="22"/>
                <w:highlight w:val="yellow"/>
              </w:rPr>
              <w:t>Czasu Naprawy dla Incydentu Krytycznego do 4 godzin.</w:t>
            </w:r>
          </w:p>
          <w:p w14:paraId="121C1457" w14:textId="23A19F5A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S2: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2B6365F">
              <w:rPr>
                <w:sz w:val="22"/>
                <w:szCs w:val="22"/>
                <w:highlight w:val="yellow"/>
              </w:rPr>
              <w:t>Czasu Naprawy dla Incydentu Poważnego do 8 godzin</w:t>
            </w:r>
          </w:p>
          <w:p w14:paraId="270D545C" w14:textId="47EAE385" w:rsidR="00F54A3D" w:rsidRDefault="00F54A3D" w:rsidP="00F54A3D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S3: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2B6365F">
              <w:rPr>
                <w:sz w:val="22"/>
                <w:szCs w:val="22"/>
                <w:highlight w:val="yellow"/>
              </w:rPr>
              <w:t>Czasu Naprawy dla Incydentu Drobnego do 10 dni roboczych.</w:t>
            </w:r>
          </w:p>
          <w:p w14:paraId="456A125B" w14:textId="77777777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</w:p>
          <w:p w14:paraId="20696FFD" w14:textId="6157381C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S1: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2B6365F">
              <w:rPr>
                <w:sz w:val="22"/>
                <w:szCs w:val="22"/>
                <w:highlight w:val="yellow"/>
              </w:rPr>
              <w:t>Czas docelowego rozwiązania problemu dla Incydentu Krytycznego do 1 dnia.</w:t>
            </w:r>
            <w:r w:rsidRPr="02B6365F">
              <w:rPr>
                <w:sz w:val="22"/>
                <w:szCs w:val="22"/>
              </w:rPr>
              <w:t xml:space="preserve"> </w:t>
            </w:r>
          </w:p>
          <w:p w14:paraId="1A5F9973" w14:textId="4420E623" w:rsidR="00F54A3D" w:rsidRDefault="00F54A3D" w:rsidP="009A160B">
            <w:pPr>
              <w:ind w:left="4"/>
            </w:pPr>
            <w:r w:rsidRPr="02B6365F">
              <w:rPr>
                <w:sz w:val="22"/>
                <w:szCs w:val="22"/>
                <w:highlight w:val="yellow"/>
              </w:rPr>
              <w:t>Poziom S2: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2B6365F">
              <w:rPr>
                <w:sz w:val="22"/>
                <w:szCs w:val="22"/>
                <w:highlight w:val="yellow"/>
              </w:rPr>
              <w:t>Czas docelowego rozwiązania problemu dla Incydentu Poważnego do 5 dni</w:t>
            </w:r>
            <w:r w:rsidRPr="02B6365F">
              <w:rPr>
                <w:sz w:val="22"/>
                <w:szCs w:val="22"/>
              </w:rPr>
              <w:t xml:space="preserve"> </w:t>
            </w:r>
          </w:p>
          <w:p w14:paraId="608E9722" w14:textId="77777777" w:rsidR="00F54A3D" w:rsidRDefault="00F54A3D" w:rsidP="009A160B">
            <w:pPr>
              <w:ind w:left="4"/>
              <w:rPr>
                <w:sz w:val="22"/>
                <w:szCs w:val="22"/>
              </w:rPr>
            </w:pPr>
          </w:p>
          <w:p w14:paraId="5948E2B2" w14:textId="77777777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Czas reakcji:</w:t>
            </w:r>
            <w:r w:rsidRPr="02B6365F">
              <w:rPr>
                <w:sz w:val="22"/>
                <w:szCs w:val="22"/>
              </w:rPr>
              <w:t xml:space="preserve"> </w:t>
            </w:r>
          </w:p>
          <w:p w14:paraId="5C2D9D5B" w14:textId="77777777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S1: do 15 minut</w:t>
            </w:r>
            <w:r w:rsidRPr="02B6365F">
              <w:rPr>
                <w:sz w:val="22"/>
                <w:szCs w:val="22"/>
              </w:rPr>
              <w:t xml:space="preserve"> </w:t>
            </w:r>
          </w:p>
          <w:p w14:paraId="5CFA8BF7" w14:textId="77777777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S2: do 30 minut</w:t>
            </w:r>
          </w:p>
          <w:p w14:paraId="12D86FC1" w14:textId="77777777" w:rsidR="00F54A3D" w:rsidRDefault="00F54A3D" w:rsidP="009A160B">
            <w:pPr>
              <w:ind w:left="4"/>
              <w:rPr>
                <w:sz w:val="22"/>
                <w:szCs w:val="22"/>
                <w:highlight w:val="yellow"/>
              </w:rPr>
            </w:pPr>
            <w:r w:rsidRPr="02B6365F">
              <w:rPr>
                <w:sz w:val="22"/>
                <w:szCs w:val="22"/>
                <w:highlight w:val="yellow"/>
              </w:rPr>
              <w:t>Poziom S3: do 60 minut</w:t>
            </w:r>
          </w:p>
          <w:p w14:paraId="1443FD9B" w14:textId="77777777" w:rsidR="00F54A3D" w:rsidRDefault="00F54A3D" w:rsidP="009A160B">
            <w:pPr>
              <w:ind w:left="4"/>
            </w:pPr>
            <w:r w:rsidRPr="02B6365F">
              <w:rPr>
                <w:sz w:val="22"/>
                <w:szCs w:val="22"/>
              </w:rPr>
              <w:lastRenderedPageBreak/>
              <w:t>Maksymalna liczba zgłoszonych incydentów: bez limitu</w:t>
            </w:r>
            <w:r w:rsidRPr="02B6365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F54A3D" w14:paraId="1723C838" w14:textId="77777777" w:rsidTr="009A160B">
        <w:trPr>
          <w:trHeight w:val="946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F4E5D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Posiadanie osób z kwalifikacjami na poziomie architekta systemu operacyjnego Linux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4DFE5B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Nie mniej niż 2 osoby. </w:t>
            </w:r>
          </w:p>
        </w:tc>
      </w:tr>
      <w:tr w:rsidR="00F54A3D" w14:paraId="0FDFF87E" w14:textId="77777777" w:rsidTr="009A160B">
        <w:trPr>
          <w:trHeight w:val="677"/>
        </w:trPr>
        <w:tc>
          <w:tcPr>
            <w:tcW w:w="3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4DA0B" w14:textId="77777777" w:rsidR="00F54A3D" w:rsidRDefault="00F54A3D" w:rsidP="009A160B">
            <w:r>
              <w:rPr>
                <w:rFonts w:ascii="Calibri" w:eastAsia="Calibri" w:hAnsi="Calibri" w:cs="Calibri"/>
                <w:sz w:val="22"/>
              </w:rPr>
              <w:t xml:space="preserve">Posiadanie osób z kwalifikacjami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professional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na poziomie bazy danych </w:t>
            </w:r>
          </w:p>
        </w:tc>
        <w:tc>
          <w:tcPr>
            <w:tcW w:w="5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EDBFB2" w14:textId="77777777" w:rsidR="00F54A3D" w:rsidRDefault="00F54A3D" w:rsidP="009A160B">
            <w:pPr>
              <w:ind w:left="4"/>
            </w:pPr>
            <w:r>
              <w:rPr>
                <w:rFonts w:ascii="Calibri" w:eastAsia="Calibri" w:hAnsi="Calibri" w:cs="Calibri"/>
                <w:sz w:val="22"/>
              </w:rPr>
              <w:t xml:space="preserve">Nie mniej niż 2 osoby. </w:t>
            </w:r>
          </w:p>
        </w:tc>
      </w:tr>
    </w:tbl>
    <w:p w14:paraId="1E4CB1AC" w14:textId="77777777" w:rsidR="00F54A3D" w:rsidRPr="00B205CC" w:rsidRDefault="00F54A3D" w:rsidP="00F54A3D"/>
    <w:p w14:paraId="7F48DA4A" w14:textId="77777777" w:rsidR="00F54A3D" w:rsidRDefault="00F54A3D" w:rsidP="00F54A3D">
      <w:pPr>
        <w:spacing w:line="276" w:lineRule="auto"/>
        <w:jc w:val="right"/>
        <w:rPr>
          <w:szCs w:val="24"/>
        </w:rPr>
      </w:pPr>
    </w:p>
    <w:p w14:paraId="28EB3BAD" w14:textId="77777777" w:rsidR="00F54A3D" w:rsidRPr="00DF464C" w:rsidRDefault="00F54A3D" w:rsidP="00F54A3D">
      <w:pPr>
        <w:spacing w:line="276" w:lineRule="auto"/>
        <w:jc w:val="center"/>
        <w:rPr>
          <w:szCs w:val="24"/>
          <w:lang w:val="en-US"/>
        </w:rPr>
      </w:pPr>
    </w:p>
    <w:p w14:paraId="635D19D0" w14:textId="77777777" w:rsidR="00F54A3D" w:rsidRPr="00DF464C" w:rsidRDefault="00F54A3D" w:rsidP="00F54A3D">
      <w:pPr>
        <w:spacing w:line="276" w:lineRule="auto"/>
        <w:ind w:left="862"/>
        <w:rPr>
          <w:szCs w:val="24"/>
          <w:lang w:val="en-US"/>
        </w:rPr>
      </w:pPr>
    </w:p>
    <w:p w14:paraId="54FDEC7C" w14:textId="77777777" w:rsidR="00F54A3D" w:rsidRDefault="00F54A3D"/>
    <w:sectPr w:rsidR="00F54A3D" w:rsidSect="00D66A4C">
      <w:footerReference w:type="default" r:id="rId16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B279" w14:textId="77777777" w:rsidR="00A51118" w:rsidRDefault="00A51118" w:rsidP="00E5692F">
      <w:r>
        <w:separator/>
      </w:r>
    </w:p>
  </w:endnote>
  <w:endnote w:type="continuationSeparator" w:id="0">
    <w:p w14:paraId="6BAD38CA" w14:textId="77777777" w:rsidR="00A51118" w:rsidRDefault="00A51118" w:rsidP="00E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2681" w14:textId="77777777" w:rsidR="00401FC3" w:rsidRDefault="00401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EBA" w14:textId="77777777" w:rsidR="00401FC3" w:rsidRDefault="00401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3C4" w14:textId="77777777" w:rsidR="00401FC3" w:rsidRDefault="00401FC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73F" w14:textId="77777777" w:rsidR="000D1217" w:rsidRDefault="00A51118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CCA4C9F" w14:textId="77777777" w:rsidR="000D1217" w:rsidRPr="009B2E44" w:rsidRDefault="00527FBB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77EA6D90" w14:textId="77777777" w:rsidR="000D1217" w:rsidRPr="009B2E44" w:rsidRDefault="00527FBB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BE51" w14:textId="77777777" w:rsidR="00A51118" w:rsidRDefault="00A51118" w:rsidP="00E5692F">
      <w:r>
        <w:separator/>
      </w:r>
    </w:p>
  </w:footnote>
  <w:footnote w:type="continuationSeparator" w:id="0">
    <w:p w14:paraId="620B5696" w14:textId="77777777" w:rsidR="00A51118" w:rsidRDefault="00A51118" w:rsidP="00E5692F">
      <w:r>
        <w:continuationSeparator/>
      </w:r>
    </w:p>
  </w:footnote>
  <w:footnote w:id="1">
    <w:p w14:paraId="368EA6C6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9A0C682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EC3521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4BBF0CE7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EDD" w14:textId="77777777" w:rsidR="00401FC3" w:rsidRDefault="00401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F3A" w14:textId="77777777" w:rsidR="00401FC3" w:rsidRDefault="00401F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603" w14:textId="77777777" w:rsidR="00401FC3" w:rsidRDefault="00401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2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3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7" w15:restartNumberingAfterBreak="0">
    <w:nsid w:val="1EEA3A6C"/>
    <w:multiLevelType w:val="hybridMultilevel"/>
    <w:tmpl w:val="F90A9A32"/>
    <w:lvl w:ilvl="0" w:tplc="E4F2A860">
      <w:start w:val="1"/>
      <w:numFmt w:val="decimal"/>
      <w:lvlText w:val="%1."/>
      <w:lvlJc w:val="left"/>
      <w:pPr>
        <w:ind w:left="720" w:hanging="360"/>
      </w:pPr>
    </w:lvl>
    <w:lvl w:ilvl="1" w:tplc="FAB47CD0">
      <w:start w:val="1"/>
      <w:numFmt w:val="lowerLetter"/>
      <w:lvlText w:val="%2."/>
      <w:lvlJc w:val="left"/>
      <w:pPr>
        <w:ind w:left="1440" w:hanging="360"/>
      </w:pPr>
    </w:lvl>
    <w:lvl w:ilvl="2" w:tplc="A9B04BC0">
      <w:start w:val="1"/>
      <w:numFmt w:val="lowerRoman"/>
      <w:lvlText w:val="%3."/>
      <w:lvlJc w:val="right"/>
      <w:pPr>
        <w:ind w:left="2160" w:hanging="180"/>
      </w:pPr>
    </w:lvl>
    <w:lvl w:ilvl="3" w:tplc="5F4E9C14">
      <w:start w:val="1"/>
      <w:numFmt w:val="decimal"/>
      <w:lvlText w:val="%4."/>
      <w:lvlJc w:val="left"/>
      <w:pPr>
        <w:ind w:left="2880" w:hanging="360"/>
      </w:pPr>
    </w:lvl>
    <w:lvl w:ilvl="4" w:tplc="3FB09CAA">
      <w:start w:val="1"/>
      <w:numFmt w:val="lowerLetter"/>
      <w:lvlText w:val="%5."/>
      <w:lvlJc w:val="left"/>
      <w:pPr>
        <w:ind w:left="3600" w:hanging="360"/>
      </w:pPr>
    </w:lvl>
    <w:lvl w:ilvl="5" w:tplc="9E98BF38">
      <w:start w:val="1"/>
      <w:numFmt w:val="lowerRoman"/>
      <w:lvlText w:val="%6."/>
      <w:lvlJc w:val="right"/>
      <w:pPr>
        <w:ind w:left="4320" w:hanging="180"/>
      </w:pPr>
    </w:lvl>
    <w:lvl w:ilvl="6" w:tplc="3E28EC6E">
      <w:start w:val="1"/>
      <w:numFmt w:val="decimal"/>
      <w:lvlText w:val="%7."/>
      <w:lvlJc w:val="left"/>
      <w:pPr>
        <w:ind w:left="5040" w:hanging="360"/>
      </w:pPr>
    </w:lvl>
    <w:lvl w:ilvl="7" w:tplc="E6C24BD8">
      <w:start w:val="1"/>
      <w:numFmt w:val="lowerLetter"/>
      <w:lvlText w:val="%8."/>
      <w:lvlJc w:val="left"/>
      <w:pPr>
        <w:ind w:left="5760" w:hanging="360"/>
      </w:pPr>
    </w:lvl>
    <w:lvl w:ilvl="8" w:tplc="EC621D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29E32699"/>
    <w:multiLevelType w:val="hybridMultilevel"/>
    <w:tmpl w:val="C4E61CE2"/>
    <w:lvl w:ilvl="0" w:tplc="7B3E909A">
      <w:start w:val="1"/>
      <w:numFmt w:val="bullet"/>
      <w:lvlText w:val="-"/>
      <w:lvlJc w:val="left"/>
      <w:pPr>
        <w:ind w:left="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6FCB8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0BA5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86942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27D94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660E4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2FD24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C201A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EAED8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9F6221"/>
    <w:multiLevelType w:val="multilevel"/>
    <w:tmpl w:val="6DCCB460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3" w15:restartNumberingAfterBreak="0">
    <w:nsid w:val="40B92C7C"/>
    <w:multiLevelType w:val="hybridMultilevel"/>
    <w:tmpl w:val="D2905A00"/>
    <w:lvl w:ilvl="0" w:tplc="2AB01EFA">
      <w:start w:val="1"/>
      <w:numFmt w:val="upperRoman"/>
      <w:pStyle w:val="Nagwek1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63182">
      <w:start w:val="1"/>
      <w:numFmt w:val="decimal"/>
      <w:lvlText w:val="%2)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36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F4B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E34C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C7F9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813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6DB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6AEE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1D5806"/>
    <w:multiLevelType w:val="hybridMultilevel"/>
    <w:tmpl w:val="289AE1D4"/>
    <w:lvl w:ilvl="0" w:tplc="2A0EE0E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A53A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AF698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A65BA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8C23A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2D114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22060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E181E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8FA34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655E7D"/>
    <w:multiLevelType w:val="hybridMultilevel"/>
    <w:tmpl w:val="5EA09EEC"/>
    <w:lvl w:ilvl="0" w:tplc="311C50B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C4644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E8AD8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D568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88D7E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2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89DD6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25488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2E39A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5B4E60"/>
    <w:multiLevelType w:val="hybridMultilevel"/>
    <w:tmpl w:val="368C298A"/>
    <w:lvl w:ilvl="0" w:tplc="C8A26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6F2B32"/>
    <w:multiLevelType w:val="hybridMultilevel"/>
    <w:tmpl w:val="CAF4685E"/>
    <w:lvl w:ilvl="0" w:tplc="49DCE4F6">
      <w:start w:val="1"/>
      <w:numFmt w:val="bullet"/>
      <w:lvlText w:val="•"/>
      <w:lvlJc w:val="left"/>
      <w:pPr>
        <w:ind w:left="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C42AE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2742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EDF3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2F884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6E72C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166A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06016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4EBC2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A5393"/>
    <w:multiLevelType w:val="hybridMultilevel"/>
    <w:tmpl w:val="0A8010D4"/>
    <w:lvl w:ilvl="0" w:tplc="EF4830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6B734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62E06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44A5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275C0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433D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8B1A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B06E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4BBAC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AE4A37"/>
    <w:multiLevelType w:val="hybridMultilevel"/>
    <w:tmpl w:val="D15AEEEA"/>
    <w:lvl w:ilvl="0" w:tplc="3626A18E">
      <w:start w:val="1"/>
      <w:numFmt w:val="decimal"/>
      <w:lvlText w:val="%1."/>
      <w:lvlJc w:val="left"/>
      <w:pPr>
        <w:ind w:left="720" w:hanging="360"/>
      </w:pPr>
    </w:lvl>
    <w:lvl w:ilvl="1" w:tplc="3F66B060">
      <w:start w:val="1"/>
      <w:numFmt w:val="decimal"/>
      <w:lvlText w:val="%2."/>
      <w:lvlJc w:val="left"/>
      <w:pPr>
        <w:ind w:left="1440" w:hanging="360"/>
      </w:pPr>
    </w:lvl>
    <w:lvl w:ilvl="2" w:tplc="03AE6EB0">
      <w:start w:val="1"/>
      <w:numFmt w:val="lowerRoman"/>
      <w:lvlText w:val="%3."/>
      <w:lvlJc w:val="right"/>
      <w:pPr>
        <w:ind w:left="2160" w:hanging="180"/>
      </w:pPr>
    </w:lvl>
    <w:lvl w:ilvl="3" w:tplc="F9E42744">
      <w:start w:val="1"/>
      <w:numFmt w:val="decimal"/>
      <w:lvlText w:val="%4."/>
      <w:lvlJc w:val="left"/>
      <w:pPr>
        <w:ind w:left="2880" w:hanging="360"/>
      </w:pPr>
    </w:lvl>
    <w:lvl w:ilvl="4" w:tplc="E0A6F342">
      <w:start w:val="1"/>
      <w:numFmt w:val="lowerLetter"/>
      <w:lvlText w:val="%5."/>
      <w:lvlJc w:val="left"/>
      <w:pPr>
        <w:ind w:left="3600" w:hanging="360"/>
      </w:pPr>
    </w:lvl>
    <w:lvl w:ilvl="5" w:tplc="B25ABEE8">
      <w:start w:val="1"/>
      <w:numFmt w:val="lowerRoman"/>
      <w:lvlText w:val="%6."/>
      <w:lvlJc w:val="right"/>
      <w:pPr>
        <w:ind w:left="4320" w:hanging="180"/>
      </w:pPr>
    </w:lvl>
    <w:lvl w:ilvl="6" w:tplc="6A001338">
      <w:start w:val="1"/>
      <w:numFmt w:val="decimal"/>
      <w:lvlText w:val="%7."/>
      <w:lvlJc w:val="left"/>
      <w:pPr>
        <w:ind w:left="5040" w:hanging="360"/>
      </w:pPr>
    </w:lvl>
    <w:lvl w:ilvl="7" w:tplc="A4888E7A">
      <w:start w:val="1"/>
      <w:numFmt w:val="lowerLetter"/>
      <w:lvlText w:val="%8."/>
      <w:lvlJc w:val="left"/>
      <w:pPr>
        <w:ind w:left="5760" w:hanging="360"/>
      </w:pPr>
    </w:lvl>
    <w:lvl w:ilvl="8" w:tplc="796A55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3"/>
  </w:num>
  <w:num w:numId="15">
    <w:abstractNumId w:val="19"/>
  </w:num>
  <w:num w:numId="16">
    <w:abstractNumId w:val="17"/>
  </w:num>
  <w:num w:numId="17">
    <w:abstractNumId w:val="14"/>
  </w:num>
  <w:num w:numId="18">
    <w:abstractNumId w:val="11"/>
  </w:num>
  <w:num w:numId="19">
    <w:abstractNumId w:val="15"/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173EE"/>
    <w:rsid w:val="00056491"/>
    <w:rsid w:val="00066498"/>
    <w:rsid w:val="000B32F2"/>
    <w:rsid w:val="000F0525"/>
    <w:rsid w:val="0016702D"/>
    <w:rsid w:val="00401FC3"/>
    <w:rsid w:val="00527FBB"/>
    <w:rsid w:val="00681D39"/>
    <w:rsid w:val="00A01A97"/>
    <w:rsid w:val="00A51118"/>
    <w:rsid w:val="00A652F2"/>
    <w:rsid w:val="00AD0A8B"/>
    <w:rsid w:val="00D52B99"/>
    <w:rsid w:val="00D9460A"/>
    <w:rsid w:val="00E5692F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66C19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A3D"/>
    <w:pPr>
      <w:numPr>
        <w:numId w:val="14"/>
      </w:numPr>
      <w:spacing w:after="15" w:line="276" w:lineRule="auto"/>
      <w:ind w:left="567" w:right="58" w:hanging="567"/>
      <w:jc w:val="both"/>
      <w:outlineLvl w:val="0"/>
    </w:pPr>
    <w:rPr>
      <w:b/>
      <w:color w:val="000000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D0A8B"/>
    <w:pPr>
      <w:numPr>
        <w:numId w:val="6"/>
      </w:numPr>
      <w:suppressAutoHyphens/>
      <w:spacing w:line="268" w:lineRule="auto"/>
      <w:ind w:left="426" w:hanging="426"/>
      <w:jc w:val="both"/>
      <w:outlineLvl w:val="1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49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0A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4A3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table" w:customStyle="1" w:styleId="Tabela-Siatka1">
    <w:name w:val="Tabela - Siatka1"/>
    <w:rsid w:val="000B32F2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.sprzetu@mf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6768</Words>
  <Characters>40608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47282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Zachaj Dawid</cp:lastModifiedBy>
  <cp:revision>4</cp:revision>
  <dcterms:created xsi:type="dcterms:W3CDTF">2024-09-24T05:50:00Z</dcterms:created>
  <dcterms:modified xsi:type="dcterms:W3CDTF">2024-09-24T06:04:00Z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2024-05-09T10:40:57.0674806+02:00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GRN-00f7d5b1-565b-4a5c-b410-2755cb234775</vt:lpwstr>
  </property>
  <property fmtid="{D5CDD505-2E9C-101B-9397-08002B2CF9AE}" pid="7" name="MFHash">
    <vt:lpwstr>BNlwL4w/sr9Q+lLbNJnHQ/xe5RrQ8UJYiAC7nNHBq6E=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